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7C" w:rsidRDefault="00CE6D87">
      <w:pPr>
        <w:jc w:val="center"/>
        <w:rPr>
          <w:rFonts w:ascii="Times New Roman Bold" w:hAnsi="Times New Roman Bold"/>
          <w:b/>
          <w:caps/>
          <w:sz w:val="22"/>
          <w:szCs w:val="22"/>
        </w:rPr>
      </w:pPr>
      <w:bookmarkStart w:id="0" w:name="_GoBack"/>
      <w:bookmarkEnd w:id="0"/>
      <w:r>
        <w:rPr>
          <w:rFonts w:ascii="Times New Roman Bold" w:hAnsi="Times New Roman Bold"/>
          <w:b/>
          <w:caps/>
          <w:sz w:val="22"/>
          <w:szCs w:val="22"/>
        </w:rPr>
        <w:t>Oregon Maternal Data Center</w:t>
      </w:r>
    </w:p>
    <w:p w:rsidR="00EE2A7C" w:rsidRDefault="00CE6D87">
      <w:pPr>
        <w:jc w:val="center"/>
        <w:rPr>
          <w:rFonts w:ascii="Times New Roman" w:hAnsi="Times New Roman"/>
          <w:b/>
          <w:sz w:val="22"/>
          <w:szCs w:val="22"/>
        </w:rPr>
      </w:pPr>
      <w:r>
        <w:rPr>
          <w:rFonts w:ascii="Times New Roman Bold" w:hAnsi="Times New Roman Bold"/>
          <w:b/>
          <w:caps/>
          <w:sz w:val="22"/>
          <w:szCs w:val="22"/>
        </w:rPr>
        <w:t>HOSPITAL Participation Agreement</w:t>
      </w:r>
    </w:p>
    <w:p w:rsidR="00EE2A7C" w:rsidRDefault="00EE2A7C">
      <w:pPr>
        <w:jc w:val="center"/>
        <w:rPr>
          <w:rFonts w:ascii="Times New Roman" w:hAnsi="Times New Roman"/>
          <w:b/>
          <w:sz w:val="22"/>
          <w:szCs w:val="22"/>
        </w:rPr>
      </w:pPr>
    </w:p>
    <w:p w:rsidR="00EE2A7C" w:rsidRDefault="00CE6D87">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and the Oregon Health Care Quality Corporation, an Oregon non-profit, 501(c)(3) tax-exempt corporation (“</w:t>
      </w:r>
      <w:r>
        <w:rPr>
          <w:rFonts w:ascii="Times New Roman" w:hAnsi="Times New Roman"/>
          <w:b/>
          <w:sz w:val="22"/>
          <w:szCs w:val="22"/>
        </w:rPr>
        <w:t>QCorp</w:t>
      </w:r>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rsidR="00EE2A7C" w:rsidRDefault="00EE2A7C">
      <w:pPr>
        <w:jc w:val="both"/>
        <w:rPr>
          <w:rFonts w:ascii="Times New Roman" w:hAnsi="Times New Roman"/>
          <w:sz w:val="22"/>
          <w:szCs w:val="22"/>
        </w:rPr>
      </w:pPr>
    </w:p>
    <w:p w:rsidR="00EE2A7C" w:rsidRDefault="00CE6D87">
      <w:pPr>
        <w:jc w:val="center"/>
        <w:rPr>
          <w:rFonts w:ascii="Times New Roman" w:hAnsi="Times New Roman"/>
          <w:b/>
          <w:sz w:val="22"/>
          <w:szCs w:val="22"/>
          <w:u w:val="single"/>
        </w:rPr>
      </w:pPr>
      <w:r>
        <w:rPr>
          <w:rFonts w:ascii="Times New Roman Bold" w:hAnsi="Times New Roman Bold"/>
          <w:b/>
          <w:caps/>
          <w:sz w:val="22"/>
          <w:szCs w:val="22"/>
        </w:rPr>
        <w:t>Recitals</w:t>
      </w:r>
    </w:p>
    <w:p w:rsidR="00EE2A7C" w:rsidRDefault="00EE2A7C">
      <w:pPr>
        <w:rPr>
          <w:rFonts w:ascii="Times New Roman" w:hAnsi="Times New Roman"/>
          <w:sz w:val="22"/>
          <w:szCs w:val="22"/>
        </w:rPr>
      </w:pPr>
    </w:p>
    <w:p w:rsidR="00EE2A7C" w:rsidRDefault="00CE6D87">
      <w:pPr>
        <w:ind w:firstLine="720"/>
        <w:jc w:val="both"/>
        <w:rPr>
          <w:rFonts w:ascii="Times New Roman" w:hAnsi="Times New Roman"/>
          <w:sz w:val="22"/>
          <w:szCs w:val="22"/>
          <w:lang w:bidi="en-US"/>
        </w:rPr>
      </w:pPr>
      <w:r>
        <w:rPr>
          <w:rFonts w:ascii="Times New Roman" w:hAnsi="Times New Roman"/>
          <w:sz w:val="22"/>
          <w:szCs w:val="22"/>
        </w:rPr>
        <w:t xml:space="preserve">WHEREAS, </w:t>
      </w:r>
      <w:r>
        <w:rPr>
          <w:rFonts w:ascii="Times New Roman" w:hAnsi="Times New Roman"/>
          <w:sz w:val="22"/>
          <w:szCs w:val="22"/>
          <w:lang w:bidi="en-US"/>
        </w:rPr>
        <w:t>QCorp 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broad based community collaboration of multiple stakeholders and organizations through the Oregon Perinatal Collaborative. </w:t>
      </w:r>
    </w:p>
    <w:p w:rsidR="00EE2A7C" w:rsidRDefault="00EE2A7C">
      <w:pPr>
        <w:ind w:firstLine="720"/>
        <w:jc w:val="both"/>
        <w:rPr>
          <w:rFonts w:ascii="Times New Roman" w:hAnsi="Times New Roman"/>
          <w:sz w:val="22"/>
          <w:szCs w:val="22"/>
          <w:lang w:bidi="en-US"/>
        </w:rPr>
      </w:pPr>
    </w:p>
    <w:p w:rsidR="00EE2A7C" w:rsidRDefault="00CE6D87">
      <w:pPr>
        <w:ind w:firstLine="720"/>
        <w:jc w:val="both"/>
        <w:rPr>
          <w:rFonts w:ascii="Times New Roman" w:hAnsi="Times New Roman"/>
          <w:sz w:val="22"/>
          <w:szCs w:val="22"/>
          <w:lang w:bidi="en-US"/>
        </w:rPr>
      </w:pPr>
      <w:r>
        <w:rPr>
          <w:rFonts w:ascii="Times New Roman" w:hAnsi="Times New Roman"/>
          <w:sz w:val="22"/>
          <w:szCs w:val="22"/>
          <w:lang w:bidi="en-US"/>
        </w:rPr>
        <w:t xml:space="preserve">WHEREAS, </w:t>
      </w:r>
      <w:r>
        <w:rPr>
          <w:rFonts w:ascii="Times New Roman" w:hAnsi="Times New Roman"/>
          <w:sz w:val="22"/>
          <w:szCs w:val="22"/>
        </w:rPr>
        <w:t xml:space="preserve">QCorp is a broad-based, independent, neutral, trusted nonprofit organization dedicated to improving the quality and affordability of health care in Oregon through engagement with health plans, medical groups, hospitals, public sector health care representatives, purchasers, health care providers, employers and consumers in reporting on quality and resource use performance within the Oregon delivery system. Since 2006, has utilized the Oregon Healthcare Quality Reporting System (“OHQRS”) to support these efforts.  QCorp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facilitate treatment decisions, health care operations and quality improvement activities.  </w:t>
      </w:r>
    </w:p>
    <w:p w:rsidR="00EE2A7C" w:rsidRDefault="00EE2A7C">
      <w:pPr>
        <w:ind w:firstLine="720"/>
        <w:jc w:val="both"/>
        <w:rPr>
          <w:rFonts w:ascii="Times New Roman" w:hAnsi="Times New Roman"/>
          <w:sz w:val="22"/>
          <w:szCs w:val="22"/>
          <w:lang w:bidi="en-US"/>
        </w:rPr>
      </w:pPr>
    </w:p>
    <w:p w:rsidR="00EE2A7C" w:rsidRDefault="00CE6D87">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rsidR="00EE2A7C" w:rsidRDefault="00EE2A7C">
      <w:pPr>
        <w:jc w:val="both"/>
        <w:rPr>
          <w:rFonts w:ascii="Times New Roman" w:hAnsi="Times New Roman"/>
          <w:sz w:val="22"/>
          <w:szCs w:val="22"/>
        </w:rPr>
      </w:pPr>
    </w:p>
    <w:p w:rsidR="00EE2A7C" w:rsidRDefault="00CE6D87">
      <w:pPr>
        <w:ind w:firstLine="720"/>
        <w:jc w:val="both"/>
        <w:rPr>
          <w:rFonts w:ascii="Times New Roman" w:hAnsi="Times New Roman"/>
          <w:sz w:val="22"/>
          <w:szCs w:val="22"/>
        </w:rPr>
      </w:pPr>
      <w:r>
        <w:rPr>
          <w:rFonts w:ascii="Times New Roman" w:hAnsi="Times New Roman"/>
          <w:sz w:val="22"/>
          <w:szCs w:val="22"/>
        </w:rPr>
        <w:t xml:space="preserve">WHEREAS, In order to leverage CMQCC’s reporting, analytic and reporting services, QCorp has entered into a services agreement with CMQCC to act as a Business Associate and Subcontractor to QCorp 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rsidR="00EE2A7C" w:rsidRDefault="00EE2A7C">
      <w:pPr>
        <w:jc w:val="both"/>
        <w:rPr>
          <w:rFonts w:ascii="Times New Roman" w:hAnsi="Times New Roman"/>
          <w:sz w:val="22"/>
          <w:szCs w:val="22"/>
        </w:rPr>
      </w:pPr>
    </w:p>
    <w:p w:rsidR="00EE2A7C" w:rsidRDefault="00CE6D87">
      <w:pPr>
        <w:ind w:firstLine="720"/>
        <w:jc w:val="both"/>
        <w:rPr>
          <w:rFonts w:ascii="Times New Roman" w:hAnsi="Times New Roman"/>
          <w:sz w:val="22"/>
          <w:szCs w:val="22"/>
        </w:rPr>
      </w:pPr>
      <w:r>
        <w:rPr>
          <w:rFonts w:ascii="Times New Roman" w:hAnsi="Times New Roman"/>
          <w:sz w:val="22"/>
          <w:szCs w:val="22"/>
        </w:rPr>
        <w:t>WHEREAS, Participant desires to participate in the Oregon-MDC Program and agrees to adhere to the principles outlined below.</w:t>
      </w:r>
    </w:p>
    <w:p w:rsidR="00EE2A7C" w:rsidRDefault="00EE2A7C">
      <w:pPr>
        <w:tabs>
          <w:tab w:val="num" w:pos="720"/>
        </w:tabs>
        <w:jc w:val="both"/>
        <w:rPr>
          <w:rFonts w:ascii="Times New Roman" w:hAnsi="Times New Roman"/>
          <w:sz w:val="22"/>
          <w:szCs w:val="22"/>
        </w:rPr>
      </w:pPr>
    </w:p>
    <w:p w:rsidR="00EE2A7C" w:rsidRDefault="00CE6D87">
      <w:pPr>
        <w:tabs>
          <w:tab w:val="num" w:pos="720"/>
        </w:tabs>
        <w:jc w:val="both"/>
        <w:rPr>
          <w:rFonts w:ascii="Times New Roman" w:hAnsi="Times New Roman"/>
          <w:sz w:val="22"/>
          <w:szCs w:val="22"/>
        </w:rPr>
      </w:pPr>
      <w:r>
        <w:rPr>
          <w:rFonts w:ascii="Times New Roman" w:hAnsi="Times New Roman"/>
          <w:sz w:val="22"/>
          <w:szCs w:val="22"/>
        </w:rPr>
        <w:tab/>
        <w:t xml:space="preserve">WHEREAS, QCorp and Participant desire to enter into this Participation Agreement setting forth the terms relating to the Participant’s participation in the Oregon-MDC Program including the use of the CMQCC subcontracted services.  </w:t>
      </w:r>
    </w:p>
    <w:p w:rsidR="00EE2A7C" w:rsidRDefault="00EE2A7C">
      <w:pPr>
        <w:tabs>
          <w:tab w:val="num" w:pos="720"/>
        </w:tabs>
        <w:jc w:val="both"/>
        <w:rPr>
          <w:rFonts w:ascii="Times New Roman" w:hAnsi="Times New Roman"/>
          <w:sz w:val="22"/>
          <w:szCs w:val="22"/>
        </w:rPr>
      </w:pPr>
    </w:p>
    <w:p w:rsidR="00EE2A7C" w:rsidRDefault="00CE6D87">
      <w:pPr>
        <w:tabs>
          <w:tab w:val="num" w:pos="720"/>
        </w:tabs>
        <w:jc w:val="both"/>
        <w:rPr>
          <w:rFonts w:ascii="Times New Roman" w:hAnsi="Times New Roman"/>
          <w:sz w:val="22"/>
          <w:szCs w:val="22"/>
        </w:rPr>
      </w:pPr>
      <w:r>
        <w:rPr>
          <w:rFonts w:ascii="Times New Roman" w:hAnsi="Times New Roman"/>
          <w:sz w:val="22"/>
          <w:szCs w:val="22"/>
        </w:rPr>
        <w:tab/>
        <w:t>NOW, THEREFORE, in consideration of the mutual covenants contained herein, and intending to be legally bound hereby, the Parties agree as follows:</w:t>
      </w:r>
    </w:p>
    <w:p w:rsidR="00EE2A7C" w:rsidRDefault="00EE2A7C">
      <w:pPr>
        <w:jc w:val="both"/>
        <w:rPr>
          <w:rFonts w:ascii="Times New Roman" w:hAnsi="Times New Roman"/>
          <w:sz w:val="22"/>
          <w:szCs w:val="22"/>
        </w:rPr>
      </w:pPr>
    </w:p>
    <w:p w:rsidR="00EE2A7C" w:rsidRDefault="00CE6D87">
      <w:pPr>
        <w:jc w:val="center"/>
        <w:rPr>
          <w:rFonts w:ascii="Times New Roman Bold" w:hAnsi="Times New Roman Bold"/>
          <w:b/>
          <w:caps/>
          <w:sz w:val="22"/>
          <w:szCs w:val="22"/>
        </w:rPr>
      </w:pPr>
      <w:r>
        <w:rPr>
          <w:rFonts w:ascii="Times New Roman Bold" w:hAnsi="Times New Roman Bold"/>
          <w:b/>
          <w:caps/>
          <w:sz w:val="22"/>
          <w:szCs w:val="22"/>
        </w:rPr>
        <w:t>Agreement</w:t>
      </w:r>
    </w:p>
    <w:p w:rsidR="00EE2A7C" w:rsidRDefault="00EE2A7C">
      <w:pPr>
        <w:jc w:val="both"/>
        <w:rPr>
          <w:rFonts w:ascii="Times New Roman" w:hAnsi="Times New Roman"/>
          <w:b/>
          <w:sz w:val="22"/>
          <w:szCs w:val="22"/>
          <w:u w:val="single"/>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in order to participate in the Oregon-MDC Program.  </w:t>
      </w:r>
    </w:p>
    <w:p w:rsidR="00EE2A7C" w:rsidRDefault="00EE2A7C">
      <w:pPr>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Pr>
          <w:rFonts w:ascii="Times New Roman" w:hAnsi="Times New Roman"/>
          <w:sz w:val="22"/>
          <w:szCs w:val="22"/>
        </w:rPr>
        <w:t xml:space="preserve">Program.  The Participant acknowledges that the purpose of the Oregon-MDC Program is to improve the quality and outcomes of perinatal health care in Oregon as part of QCorp’s 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rsidR="00EE2A7C" w:rsidRDefault="00EE2A7C">
      <w:pPr>
        <w:ind w:left="1080"/>
        <w:jc w:val="both"/>
        <w:rPr>
          <w:rFonts w:ascii="Times New Roman" w:hAnsi="Times New Roman"/>
          <w:sz w:val="22"/>
          <w:szCs w:val="22"/>
        </w:rPr>
      </w:pPr>
    </w:p>
    <w:p w:rsidR="00EE2A7C" w:rsidRDefault="00CE6D87">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rsidR="00EE2A7C" w:rsidRDefault="00EE2A7C">
      <w:pPr>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Collect, concurrently with delivery of care to patients, health care process and outcomes data regarding maternal and infant health and the provision of maternity care services, and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rsidR="00EE2A7C" w:rsidRDefault="00EE2A7C">
      <w:pPr>
        <w:ind w:left="720"/>
        <w:jc w:val="both"/>
        <w:rPr>
          <w:rFonts w:ascii="Times New Roman" w:eastAsia="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QCorp or its subcontractor CMQCC having any access to the Participant Data.  The Participant Data and related Record Identifiers, constitute Protected Health Information, as defined in 45 C.F.R. § 160.103.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QCorp, to the Oregon-MDC no later than forty five (45) days after the end of any such reporting period.  Participant may also submit Participant Data and Record Identifiers for prior reporting periods dating back to January 1, 2011 for purposes of historical benchmarking.  Participant Data and Record Identifiers are to be submitted through the Oregon-MDC Web Tool as specified in instructions provided.  In the event errors are noted in the data or updated data becomes available, Participant may re-submit such data to the Oregon-MDC.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Permit Participant Data to be aggregated with other participant data and with statewide data files, which QCorp and CMQCC have secured permission to utilize within the Oregon-MDC for analytical and reporting purposes.</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QCorp as provided in this Agreement.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analyzed by CMQCC in order to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anytime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at all times the sole keeper of any key for decrypting coded information uploaded to the Oregon-MDC, including the Record Identifiers and the Participant Authorized Users’ access codes.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QCorp, and CMQCC for quality improvement and/or data collection activities.  </w:t>
      </w:r>
    </w:p>
    <w:p w:rsidR="00EE2A7C" w:rsidRDefault="00EE2A7C">
      <w:pPr>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QCorp or subcontractor CMQCC (either by webinar or by written materials) related to proper collection and submission of Participant Data, analyses and use of report information to improve care.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QCorp or subcontractor CMQCC may provide to Participant.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rsidR="00EE2A7C" w:rsidRDefault="00EE2A7C">
      <w:pPr>
        <w:ind w:left="720"/>
        <w:jc w:val="both"/>
        <w:rPr>
          <w:rFonts w:ascii="Times New Roman" w:hAnsi="Times New Roman"/>
          <w:sz w:val="22"/>
          <w:szCs w:val="22"/>
        </w:rPr>
      </w:pPr>
    </w:p>
    <w:p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participants’ Metrics shared with Participant which are not otherwise publically-available are kept strictly confidential and not further disclosed by Participant. </w:t>
      </w:r>
    </w:p>
    <w:p w:rsidR="00EE2A7C" w:rsidRDefault="00EE2A7C">
      <w:pPr>
        <w:ind w:left="720"/>
        <w:jc w:val="both"/>
        <w:rPr>
          <w:rFonts w:ascii="Times New Roman" w:hAnsi="Times New Roman"/>
          <w:sz w:val="22"/>
          <w:szCs w:val="22"/>
          <w:highlight w:val="yellow"/>
        </w:rPr>
      </w:pPr>
    </w:p>
    <w:p w:rsidR="00EE2A7C" w:rsidRDefault="00CE6D87">
      <w:pPr>
        <w:keepNext/>
        <w:keepLines/>
        <w:numPr>
          <w:ilvl w:val="0"/>
          <w:numId w:val="2"/>
        </w:numPr>
        <w:jc w:val="both"/>
        <w:rPr>
          <w:rFonts w:ascii="Times New Roman" w:hAnsi="Times New Roman"/>
          <w:sz w:val="22"/>
          <w:szCs w:val="22"/>
        </w:rPr>
      </w:pPr>
      <w:r>
        <w:rPr>
          <w:rFonts w:ascii="Times New Roman" w:hAnsi="Times New Roman"/>
          <w:sz w:val="22"/>
          <w:szCs w:val="22"/>
          <w:u w:val="single"/>
        </w:rPr>
        <w:t>QCorp Obligations</w:t>
      </w:r>
      <w:r>
        <w:rPr>
          <w:rFonts w:ascii="Times New Roman" w:hAnsi="Times New Roman"/>
          <w:sz w:val="22"/>
          <w:szCs w:val="22"/>
        </w:rPr>
        <w:t xml:space="preserve">.  QCorp agrees to: </w:t>
      </w:r>
    </w:p>
    <w:p w:rsidR="00EE2A7C" w:rsidRDefault="00EE2A7C">
      <w:pPr>
        <w:keepNext/>
        <w:keepLines/>
        <w:ind w:left="360"/>
        <w:jc w:val="both"/>
        <w:rPr>
          <w:rFonts w:ascii="Times New Roman" w:hAnsi="Times New Roman"/>
          <w:sz w:val="22"/>
          <w:szCs w:val="22"/>
        </w:rPr>
      </w:pPr>
    </w:p>
    <w:p w:rsidR="00EE2A7C" w:rsidRDefault="00CE6D87">
      <w:pPr>
        <w:widowControl w:val="0"/>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oversight and administration of the Oregon MDC Program, administer and meet all obligations described in the Oregon Maternal Data Center Service Agreement and Subcontractor Business </w:t>
      </w:r>
      <w:r>
        <w:rPr>
          <w:rFonts w:ascii="Times New Roman" w:hAnsi="Times New Roman"/>
          <w:sz w:val="22"/>
          <w:szCs w:val="22"/>
        </w:rPr>
        <w:lastRenderedPageBreak/>
        <w:t>Associate and Data Use Agreement to which QCorp and CMQCC are parties.</w:t>
      </w:r>
    </w:p>
    <w:p w:rsidR="00EE2A7C" w:rsidRDefault="00EE2A7C">
      <w:pPr>
        <w:ind w:left="720"/>
        <w:jc w:val="both"/>
        <w:rPr>
          <w:rFonts w:ascii="Times New Roman" w:hAnsi="Times New Roman"/>
          <w:sz w:val="22"/>
          <w:szCs w:val="22"/>
        </w:rPr>
      </w:pPr>
    </w:p>
    <w:p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rsidR="00EE2A7C" w:rsidRDefault="00EE2A7C">
      <w:pPr>
        <w:ind w:left="720"/>
        <w:jc w:val="both"/>
        <w:rPr>
          <w:rFonts w:ascii="Times New Roman" w:hAnsi="Times New Roman"/>
          <w:sz w:val="22"/>
          <w:szCs w:val="22"/>
        </w:rPr>
      </w:pPr>
    </w:p>
    <w:p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rsidR="00EE2A7C" w:rsidRDefault="00EE2A7C">
      <w:pPr>
        <w:ind w:left="720"/>
        <w:jc w:val="both"/>
        <w:rPr>
          <w:rFonts w:ascii="Times New Roman" w:hAnsi="Times New Roman"/>
          <w:sz w:val="22"/>
          <w:szCs w:val="22"/>
        </w:rPr>
      </w:pPr>
    </w:p>
    <w:p w:rsidR="00EE2A7C" w:rsidRDefault="00CE6D87">
      <w:pPr>
        <w:numPr>
          <w:ilvl w:val="0"/>
          <w:numId w:val="4"/>
        </w:numPr>
        <w:tabs>
          <w:tab w:val="clear" w:pos="1080"/>
          <w:tab w:val="num" w:pos="720"/>
        </w:tabs>
        <w:ind w:left="720"/>
        <w:jc w:val="both"/>
        <w:rPr>
          <w:rFonts w:ascii="Times New Roman" w:hAnsi="Times New Roman"/>
          <w:b/>
          <w:i/>
          <w:sz w:val="22"/>
          <w:szCs w:val="22"/>
        </w:rPr>
      </w:pPr>
      <w:r>
        <w:rPr>
          <w:rFonts w:ascii="Times New Roman" w:hAnsi="Times New Roman"/>
          <w:sz w:val="22"/>
          <w:szCs w:val="22"/>
        </w:rPr>
        <w:t>With the exception of CMQCC staff, be solely responsible for authorizing QCorp program staff, or any other individuals (“</w:t>
      </w:r>
      <w:r>
        <w:rPr>
          <w:rFonts w:ascii="Times New Roman" w:hAnsi="Times New Roman"/>
          <w:b/>
          <w:sz w:val="22"/>
          <w:szCs w:val="22"/>
        </w:rPr>
        <w:t>QCorp 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rsidR="00EE2A7C" w:rsidRDefault="00EE2A7C">
      <w:pPr>
        <w:ind w:left="720"/>
        <w:jc w:val="both"/>
        <w:rPr>
          <w:rFonts w:ascii="Times New Roman" w:hAnsi="Times New Roman"/>
          <w:sz w:val="22"/>
          <w:szCs w:val="22"/>
        </w:rPr>
      </w:pPr>
    </w:p>
    <w:p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rsidR="00EE2A7C" w:rsidRDefault="00EE2A7C">
      <w:pPr>
        <w:pStyle w:val="ListParagraph"/>
        <w:spacing w:after="0" w:line="240" w:lineRule="auto"/>
        <w:rPr>
          <w:rFonts w:ascii="Times New Roman" w:hAnsi="Times New Roman"/>
        </w:rPr>
      </w:pPr>
    </w:p>
    <w:p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rsidR="00EE2A7C" w:rsidRDefault="00EE2A7C">
      <w:pPr>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QCorp and CMQCC, CMQCC is obligated to: </w:t>
      </w:r>
    </w:p>
    <w:p w:rsidR="00EE2A7C" w:rsidRDefault="00EE2A7C">
      <w:pPr>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QCorp and CMQCC are parties. </w:t>
      </w:r>
    </w:p>
    <w:p w:rsidR="00EE2A7C" w:rsidRDefault="00EE2A7C">
      <w:pPr>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rsidR="00EE2A7C" w:rsidRDefault="00EE2A7C">
      <w:pPr>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QCorp on behalf of the Oregon Perinatal Collaborative. </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QCorp to view and download all Metrics and applicable benchmarks. </w:t>
      </w:r>
    </w:p>
    <w:p w:rsidR="00EE2A7C" w:rsidRDefault="00EE2A7C">
      <w:pPr>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rsidR="00EE2A7C" w:rsidRDefault="00EE2A7C">
      <w:pPr>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QCorp with Limited Data Set and/or De-Identified Data based on Participant Data on a quarterly basis, in accordance with the requirements of HIPAA and applicable CMQCC policies for purposes related to Oregon-MDC Program.  </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Subcontractor Business Associate and Data Use Agreement between QCorp and CMQCC, which is consistent with the provisions of the Business Associate and Data Use Agreement between Participant and QCorp as reflected in </w:t>
      </w:r>
      <w:r>
        <w:rPr>
          <w:rFonts w:ascii="Times New Roman" w:hAnsi="Times New Roman"/>
          <w:sz w:val="22"/>
          <w:szCs w:val="22"/>
          <w:u w:val="single"/>
        </w:rPr>
        <w:t>Attachment C</w:t>
      </w:r>
      <w:r>
        <w:rPr>
          <w:rFonts w:ascii="Times New Roman" w:hAnsi="Times New Roman"/>
          <w:sz w:val="22"/>
          <w:szCs w:val="22"/>
        </w:rPr>
        <w:t xml:space="preserve">. </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lastRenderedPageBreak/>
        <w:t>Only release information publicly in accordance with Section 6 of this Participation Agreement and at the direction of QCorp on behalf of the Oregon Perinatal Collaborative.</w:t>
      </w:r>
    </w:p>
    <w:p w:rsidR="00EE2A7C" w:rsidRDefault="00EE2A7C">
      <w:pPr>
        <w:tabs>
          <w:tab w:val="num" w:pos="720"/>
        </w:tabs>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rsidR="00EE2A7C" w:rsidRDefault="00EE2A7C">
      <w:pPr>
        <w:ind w:left="720"/>
        <w:jc w:val="both"/>
        <w:rPr>
          <w:rFonts w:ascii="Times New Roman" w:hAnsi="Times New Roman"/>
          <w:sz w:val="22"/>
          <w:szCs w:val="22"/>
        </w:rPr>
      </w:pPr>
    </w:p>
    <w:p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rsidR="00EE2A7C" w:rsidRDefault="00EE2A7C">
      <w:pPr>
        <w:ind w:left="72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In order to fulfill this purpose, the parties recognize the importance of sharing valuable information generated through the Oregon-MDC among Oregon-MDC Program participants, publically, and with researchers. QCorp will use the established Oregon Perinatal Collaborative process to decide which Metrics shown in Attachment B will be unblinded and made available among Participants and which will be made unblinded and made available to the public. Oregon Perinatal Collaborative, which is comprised of QCorp, hospital and other members, regularly reviews measures used to assess perinatal services and recommends how Metrics should be reported to focus Collaborative priorities for quality improvement efforts. </w:t>
      </w:r>
    </w:p>
    <w:p w:rsidR="00EE2A7C" w:rsidRDefault="00EE2A7C">
      <w:pPr>
        <w:ind w:left="360"/>
        <w:jc w:val="both"/>
        <w:rPr>
          <w:rFonts w:ascii="Times New Roman" w:hAnsi="Times New Roman"/>
          <w:sz w:val="22"/>
          <w:szCs w:val="22"/>
          <w:u w:val="single"/>
        </w:rPr>
      </w:pPr>
    </w:p>
    <w:p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unblinding measures as between hospitals when:</w:t>
      </w:r>
    </w:p>
    <w:p w:rsidR="00EE2A7C" w:rsidRDefault="00CE6D87">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rsidR="00EE2A7C" w:rsidRDefault="00CE6D87">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rsidR="00EE2A7C" w:rsidRDefault="00EE2A7C">
      <w:pPr>
        <w:jc w:val="both"/>
        <w:rPr>
          <w:rFonts w:ascii="Times New Roman" w:hAnsi="Times New Roman"/>
          <w:sz w:val="22"/>
          <w:szCs w:val="22"/>
        </w:rPr>
      </w:pPr>
    </w:p>
    <w:p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rsidR="00EE2A7C" w:rsidRDefault="00CE6D87">
      <w:pPr>
        <w:numPr>
          <w:ilvl w:val="0"/>
          <w:numId w:val="40"/>
        </w:numPr>
        <w:jc w:val="both"/>
        <w:rPr>
          <w:rFonts w:ascii="Times New Roman" w:hAnsi="Times New Roman"/>
          <w:sz w:val="22"/>
          <w:szCs w:val="22"/>
        </w:rPr>
      </w:pPr>
      <w:r>
        <w:rPr>
          <w:rFonts w:ascii="Times New Roman" w:hAnsi="Times New Roman"/>
          <w:sz w:val="22"/>
          <w:szCs w:val="22"/>
        </w:rPr>
        <w:t>Already publicly released by QCorp, such as EED</w:t>
      </w:r>
    </w:p>
    <w:p w:rsidR="00EE2A7C" w:rsidRDefault="00CE6D87">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rsidR="00EE2A7C" w:rsidRDefault="00CE6D87">
      <w:pPr>
        <w:numPr>
          <w:ilvl w:val="0"/>
          <w:numId w:val="40"/>
        </w:numPr>
        <w:jc w:val="both"/>
        <w:rPr>
          <w:rFonts w:ascii="Times New Roman" w:hAnsi="Times New Roman"/>
          <w:sz w:val="22"/>
          <w:szCs w:val="22"/>
        </w:rPr>
      </w:pPr>
      <w:r>
        <w:rPr>
          <w:rFonts w:ascii="Times New Roman" w:hAnsi="Times New Roman"/>
          <w:sz w:val="22"/>
          <w:szCs w:val="22"/>
        </w:rPr>
        <w:t>Nationally endorsed</w:t>
      </w:r>
    </w:p>
    <w:p w:rsidR="00EE2A7C" w:rsidRDefault="00EE2A7C">
      <w:pPr>
        <w:ind w:left="720"/>
        <w:jc w:val="both"/>
        <w:rPr>
          <w:rFonts w:ascii="Times New Roman" w:hAnsi="Times New Roman"/>
          <w:sz w:val="22"/>
          <w:szCs w:val="22"/>
        </w:rPr>
      </w:pPr>
    </w:p>
    <w:p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QCorp 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rsidR="00EE2A7C" w:rsidRDefault="00EE2A7C">
      <w:pPr>
        <w:ind w:left="720"/>
        <w:jc w:val="both"/>
        <w:rPr>
          <w:rFonts w:ascii="Times New Roman" w:hAnsi="Times New Roman"/>
          <w:sz w:val="22"/>
          <w:szCs w:val="22"/>
        </w:rPr>
      </w:pPr>
    </w:p>
    <w:p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agree that QCorp shall be entitled to use, publish and/or publically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rsidR="00EE2A7C" w:rsidRDefault="00EE2A7C">
      <w:pPr>
        <w:pStyle w:val="ListParagraph"/>
        <w:spacing w:after="0" w:line="240" w:lineRule="auto"/>
        <w:rPr>
          <w:rFonts w:ascii="Times New Roman" w:hAnsi="Times New Roman"/>
        </w:rPr>
      </w:pPr>
    </w:p>
    <w:p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further agree that QCorp may, from time to time, allow researchers unaffiliated with QCorp 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164.514(b)(2).  Any such release of information to researchers unaffiliated with QCorp shall be subject to prior review and approval by QCorp or a panel which QCorp creates for the specific purpose of reviewing and approving such requests.</w:t>
      </w:r>
    </w:p>
    <w:p w:rsidR="00EE2A7C" w:rsidRDefault="00EE2A7C">
      <w:pPr>
        <w:ind w:left="720"/>
        <w:jc w:val="both"/>
        <w:rPr>
          <w:rFonts w:ascii="Times New Roman" w:hAnsi="Times New Roman"/>
          <w:sz w:val="22"/>
          <w:szCs w:val="22"/>
        </w:rPr>
      </w:pPr>
    </w:p>
    <w:p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If Participant provides explicit advance authorization in writing to CMQCC, the parties also agree that CMQCC shall have the right to release Participant-specific information to certain performance reporting organizations/programs selected by Participant, for example, the Center for Medicare Services Inpatient Quality Reporting Program.</w:t>
      </w:r>
    </w:p>
    <w:p w:rsidR="00EE2A7C" w:rsidRDefault="00EE2A7C">
      <w:pPr>
        <w:tabs>
          <w:tab w:val="left" w:pos="720"/>
        </w:tabs>
        <w:ind w:left="360"/>
        <w:rPr>
          <w:rFonts w:ascii="Times New Roman" w:hAnsi="Times New Roman"/>
          <w:sz w:val="22"/>
          <w:szCs w:val="22"/>
        </w:rPr>
      </w:pPr>
    </w:p>
    <w:p w:rsidR="00EE2A7C" w:rsidRDefault="00CE6D87">
      <w:pPr>
        <w:widowControl w:val="0"/>
        <w:numPr>
          <w:ilvl w:val="0"/>
          <w:numId w:val="2"/>
        </w:numPr>
        <w:rPr>
          <w:rFonts w:ascii="Times New Roman" w:hAnsi="Times New Roman"/>
          <w:sz w:val="22"/>
          <w:szCs w:val="22"/>
        </w:rPr>
      </w:pPr>
      <w:r>
        <w:rPr>
          <w:rFonts w:ascii="Times New Roman" w:hAnsi="Times New Roman"/>
          <w:sz w:val="22"/>
          <w:szCs w:val="22"/>
          <w:u w:val="single"/>
        </w:rPr>
        <w:lastRenderedPageBreak/>
        <w:t>Term; Termination</w:t>
      </w:r>
      <w:r>
        <w:rPr>
          <w:rFonts w:ascii="Times New Roman" w:hAnsi="Times New Roman"/>
          <w:sz w:val="22"/>
          <w:szCs w:val="22"/>
        </w:rPr>
        <w:t xml:space="preserve">. </w:t>
      </w:r>
    </w:p>
    <w:p w:rsidR="00EE2A7C" w:rsidRDefault="00EE2A7C">
      <w:pPr>
        <w:widowControl w:val="0"/>
        <w:tabs>
          <w:tab w:val="left" w:pos="720"/>
        </w:tabs>
        <w:rPr>
          <w:rFonts w:ascii="Times New Roman" w:hAnsi="Times New Roman"/>
          <w:sz w:val="22"/>
          <w:szCs w:val="22"/>
        </w:rPr>
      </w:pPr>
    </w:p>
    <w:p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QCorp provides written notice of non-renewal not less than thirty (30) days prior to the end of the applicable Initial Term or Renewal Term.  </w:t>
      </w:r>
    </w:p>
    <w:p w:rsidR="00EE2A7C" w:rsidRDefault="00EE2A7C">
      <w:pPr>
        <w:tabs>
          <w:tab w:val="left" w:pos="720"/>
        </w:tabs>
        <w:ind w:left="720"/>
        <w:jc w:val="both"/>
        <w:rPr>
          <w:rFonts w:ascii="Times New Roman" w:hAnsi="Times New Roman"/>
          <w:sz w:val="22"/>
          <w:szCs w:val="22"/>
        </w:rPr>
      </w:pPr>
    </w:p>
    <w:p w:rsidR="00EE2A7C" w:rsidRDefault="00CE6D87">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Participant or QCorp 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rsidR="00EE2A7C" w:rsidRDefault="00EE2A7C">
      <w:pPr>
        <w:jc w:val="both"/>
        <w:rPr>
          <w:rFonts w:ascii="Times New Roman" w:hAnsi="Times New Roman"/>
          <w:sz w:val="22"/>
          <w:szCs w:val="22"/>
        </w:rPr>
      </w:pPr>
    </w:p>
    <w:p w:rsidR="00EE2A7C" w:rsidRDefault="00CE6D87">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QCorp or subcontractor CMQCC is used or disclosed in a manner contrary to the provisions of the this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rsidR="00EE2A7C" w:rsidRDefault="00EE2A7C">
      <w:pPr>
        <w:tabs>
          <w:tab w:val="left" w:pos="720"/>
        </w:tabs>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rsidR="00EE2A7C" w:rsidRDefault="00EE2A7C">
      <w:pPr>
        <w:ind w:left="360"/>
        <w:jc w:val="both"/>
        <w:rPr>
          <w:rFonts w:ascii="Times New Roman" w:hAnsi="Times New Roman"/>
          <w:sz w:val="22"/>
          <w:szCs w:val="22"/>
        </w:rPr>
      </w:pPr>
    </w:p>
    <w:p w:rsidR="00EE2A7C" w:rsidRDefault="00CE6D87">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QCorp as follows: </w:t>
      </w:r>
    </w:p>
    <w:p w:rsidR="00EE2A7C" w:rsidRDefault="00EE2A7C">
      <w:pPr>
        <w:ind w:left="360"/>
        <w:jc w:val="both"/>
        <w:rPr>
          <w:rFonts w:ascii="Times New Roman" w:hAnsi="Times New Roman"/>
          <w:sz w:val="22"/>
          <w:szCs w:val="22"/>
        </w:rPr>
      </w:pPr>
    </w:p>
    <w:p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first year annual Participant fee shall be as follows: </w:t>
      </w:r>
    </w:p>
    <w:p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Oregon-M</w:t>
      </w:r>
      <w:r>
        <w:rPr>
          <w:rFonts w:ascii="Times New Roman" w:hAnsi="Times New Roman"/>
          <w:color w:val="1F497D"/>
          <w:sz w:val="22"/>
          <w:szCs w:val="22"/>
        </w:rPr>
        <w:t>D</w:t>
      </w:r>
      <w:r>
        <w:rPr>
          <w:rFonts w:ascii="Times New Roman" w:hAnsi="Times New Roman"/>
          <w:sz w:val="22"/>
          <w:szCs w:val="22"/>
        </w:rPr>
        <w:t>C Program for Hospitals with 1,100 or more annual deliveries:</w:t>
      </w:r>
      <w:r>
        <w:rPr>
          <w:rFonts w:ascii="Times New Roman" w:hAnsi="Times New Roman"/>
          <w:sz w:val="22"/>
          <w:szCs w:val="22"/>
        </w:rPr>
        <w:tab/>
      </w:r>
      <w:r>
        <w:rPr>
          <w:rFonts w:ascii="Times New Roman" w:hAnsi="Times New Roman"/>
          <w:sz w:val="22"/>
          <w:szCs w:val="22"/>
        </w:rPr>
        <w:tab/>
        <w:t>$10,000.</w:t>
      </w:r>
    </w:p>
    <w:p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Oregon-M</w:t>
      </w:r>
      <w:r>
        <w:rPr>
          <w:rFonts w:ascii="Times New Roman" w:hAnsi="Times New Roman"/>
          <w:color w:val="1F497D"/>
          <w:sz w:val="22"/>
          <w:szCs w:val="22"/>
        </w:rPr>
        <w:t>D</w:t>
      </w:r>
      <w:r>
        <w:rPr>
          <w:rFonts w:ascii="Times New Roman" w:hAnsi="Times New Roman"/>
          <w:sz w:val="22"/>
          <w:szCs w:val="22"/>
        </w:rPr>
        <w:t>C Program Hospitals with 500 to 1,099 annual deliveries:</w:t>
      </w:r>
      <w:r>
        <w:rPr>
          <w:rFonts w:ascii="Times New Roman" w:hAnsi="Times New Roman"/>
          <w:sz w:val="22"/>
          <w:szCs w:val="22"/>
        </w:rPr>
        <w:tab/>
      </w:r>
      <w:r>
        <w:rPr>
          <w:rFonts w:ascii="Times New Roman" w:hAnsi="Times New Roman"/>
          <w:sz w:val="22"/>
          <w:szCs w:val="22"/>
        </w:rPr>
        <w:tab/>
        <w:t xml:space="preserve"> $7,000.</w:t>
      </w:r>
    </w:p>
    <w:p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 xml:space="preserve">Full enrollment for the Oregon MDC Program for hospitals with less than 500 annual deliveries and Critical Access Hospitals: </w:t>
      </w:r>
      <w:r>
        <w:rPr>
          <w:rFonts w:ascii="Times New Roman" w:hAnsi="Times New Roman"/>
          <w:sz w:val="22"/>
          <w:szCs w:val="22"/>
        </w:rPr>
        <w:tab/>
      </w:r>
      <w:r>
        <w:rPr>
          <w:rFonts w:ascii="Times New Roman" w:hAnsi="Times New Roman"/>
          <w:sz w:val="22"/>
          <w:szCs w:val="22"/>
        </w:rPr>
        <w:tab/>
        <w:t xml:space="preserve"> $3,000.</w:t>
      </w:r>
    </w:p>
    <w:p w:rsidR="00EE2A7C" w:rsidRDefault="00EE2A7C">
      <w:pPr>
        <w:ind w:left="720"/>
        <w:jc w:val="both"/>
        <w:rPr>
          <w:rFonts w:ascii="Times New Roman" w:hAnsi="Times New Roman"/>
          <w:sz w:val="22"/>
          <w:szCs w:val="22"/>
        </w:rPr>
      </w:pPr>
    </w:p>
    <w:p w:rsidR="00EE2A7C" w:rsidRDefault="00CE6D87">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QCorp.  </w:t>
      </w:r>
    </w:p>
    <w:p w:rsidR="00EE2A7C" w:rsidRDefault="00EE2A7C">
      <w:pPr>
        <w:ind w:left="720"/>
        <w:jc w:val="both"/>
        <w:rPr>
          <w:rFonts w:ascii="Times New Roman" w:hAnsi="Times New Roman"/>
          <w:sz w:val="22"/>
          <w:szCs w:val="22"/>
        </w:rPr>
      </w:pPr>
    </w:p>
    <w:p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QCorp shall issue an invoice for Participant’s entire yearly fee one time per year to the following Participant address: </w:t>
      </w:r>
    </w:p>
    <w:p w:rsidR="00EE2A7C" w:rsidRDefault="00CE6D87">
      <w:pPr>
        <w:spacing w:before="120"/>
        <w:ind w:left="720" w:firstLine="720"/>
        <w:jc w:val="both"/>
        <w:rPr>
          <w:rFonts w:ascii="Times New Roman" w:hAnsi="Times New Roman"/>
          <w:sz w:val="22"/>
          <w:szCs w:val="22"/>
        </w:rPr>
      </w:pPr>
      <w:r>
        <w:rPr>
          <w:rFonts w:ascii="Times New Roman" w:hAnsi="Times New Roman"/>
          <w:sz w:val="22"/>
          <w:szCs w:val="22"/>
        </w:rPr>
        <w:t>Name:  _________________________________________</w:t>
      </w:r>
    </w:p>
    <w:p w:rsidR="00EE2A7C" w:rsidRDefault="00CE6D87">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rsidR="00EE2A7C" w:rsidRDefault="00CE6D87">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rsidR="00EE2A7C" w:rsidRDefault="00CE6D87">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rsidR="00EE2A7C" w:rsidRDefault="00CE6D87">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rsidR="00EE2A7C" w:rsidRDefault="00CE6D87">
      <w:pPr>
        <w:ind w:left="720" w:firstLine="720"/>
        <w:jc w:val="both"/>
        <w:rPr>
          <w:rFonts w:ascii="Times New Roman" w:hAnsi="Times New Roman"/>
          <w:sz w:val="22"/>
          <w:szCs w:val="22"/>
        </w:rPr>
      </w:pPr>
      <w:r>
        <w:rPr>
          <w:rFonts w:ascii="Times New Roman" w:hAnsi="Times New Roman"/>
          <w:sz w:val="22"/>
          <w:szCs w:val="22"/>
        </w:rPr>
        <w:t>E-mail address: __________________________________</w:t>
      </w:r>
    </w:p>
    <w:p w:rsidR="00EE2A7C" w:rsidRDefault="00EE2A7C">
      <w:pPr>
        <w:ind w:left="1440"/>
        <w:jc w:val="both"/>
        <w:rPr>
          <w:rFonts w:ascii="Times New Roman" w:hAnsi="Times New Roman"/>
          <w:sz w:val="22"/>
          <w:szCs w:val="22"/>
        </w:rPr>
      </w:pPr>
    </w:p>
    <w:p w:rsidR="00EE2A7C" w:rsidRDefault="00CE6D87">
      <w:pPr>
        <w:ind w:left="720"/>
        <w:jc w:val="both"/>
        <w:rPr>
          <w:rFonts w:ascii="Times New Roman" w:hAnsi="Times New Roman"/>
          <w:sz w:val="22"/>
          <w:szCs w:val="22"/>
        </w:rPr>
      </w:pPr>
      <w:r>
        <w:rPr>
          <w:rFonts w:ascii="Times New Roman" w:hAnsi="Times New Roman"/>
          <w:sz w:val="22"/>
          <w:szCs w:val="22"/>
        </w:rPr>
        <w:lastRenderedPageBreak/>
        <w:t>Upon receipt of the invoice, Participant shall submit payment for the entire amount to QCorp within thirty (30) days. Checks should be made payable to “Oregon Health Care Quality Corporation” and submitted to:</w:t>
      </w:r>
    </w:p>
    <w:p w:rsidR="00EE2A7C" w:rsidRDefault="00EE2A7C">
      <w:pPr>
        <w:ind w:left="720"/>
        <w:jc w:val="both"/>
        <w:rPr>
          <w:rFonts w:ascii="Times New Roman" w:hAnsi="Times New Roman"/>
          <w:sz w:val="22"/>
          <w:szCs w:val="22"/>
        </w:rPr>
      </w:pP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Oregon Health Care Quality Corporation</w:t>
      </w: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Portland, OR 97204</w:t>
      </w:r>
    </w:p>
    <w:p w:rsidR="00EE2A7C" w:rsidRDefault="00EE2A7C">
      <w:pPr>
        <w:pStyle w:val="BodyText"/>
        <w:widowControl w:val="0"/>
        <w:tabs>
          <w:tab w:val="left" w:pos="3960"/>
        </w:tabs>
        <w:ind w:left="1800" w:right="342" w:firstLine="360"/>
        <w:contextualSpacing/>
        <w:rPr>
          <w:rFonts w:ascii="Times New Roman" w:hAnsi="Times New Roman"/>
          <w:sz w:val="22"/>
          <w:szCs w:val="22"/>
        </w:rPr>
      </w:pP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Questions concerning invoicing or payment can be directed to:</w:t>
      </w:r>
    </w:p>
    <w:p w:rsidR="00EE2A7C" w:rsidRDefault="00EE2A7C">
      <w:pPr>
        <w:pStyle w:val="BodyText"/>
        <w:widowControl w:val="0"/>
        <w:tabs>
          <w:tab w:val="left" w:pos="3960"/>
        </w:tabs>
        <w:ind w:left="1800" w:right="342" w:firstLine="360"/>
        <w:contextualSpacing/>
        <w:rPr>
          <w:rFonts w:ascii="Times New Roman" w:hAnsi="Times New Roman"/>
          <w:sz w:val="22"/>
          <w:szCs w:val="22"/>
        </w:rPr>
      </w:pP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Mary Eberdt, Director of Finance and Operations</w:t>
      </w: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mary.eberdt@q-corp.org</w:t>
      </w:r>
    </w:p>
    <w:p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(503) 241-3571 or direct: (503) 972-0863</w:t>
      </w:r>
    </w:p>
    <w:p w:rsidR="00EE2A7C" w:rsidRDefault="00CE6D87">
      <w:pPr>
        <w:ind w:left="2160"/>
        <w:jc w:val="both"/>
        <w:rPr>
          <w:rFonts w:ascii="Times New Roman" w:hAnsi="Times New Roman"/>
          <w:sz w:val="22"/>
          <w:szCs w:val="22"/>
        </w:rPr>
      </w:pPr>
      <w:r>
        <w:rPr>
          <w:rFonts w:ascii="Times New Roman" w:hAnsi="Times New Roman"/>
          <w:sz w:val="22"/>
          <w:szCs w:val="22"/>
        </w:rPr>
        <w:t>Facsimile: (503) 972-0822</w:t>
      </w:r>
    </w:p>
    <w:p w:rsidR="00EE2A7C" w:rsidRDefault="00EE2A7C">
      <w:pPr>
        <w:ind w:left="21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rsidR="00EE2A7C" w:rsidRDefault="00EE2A7C">
      <w:pPr>
        <w:ind w:left="360"/>
        <w:jc w:val="both"/>
        <w:rPr>
          <w:rFonts w:ascii="Times New Roman" w:hAnsi="Times New Roman"/>
          <w:sz w:val="22"/>
          <w:szCs w:val="22"/>
          <w:u w:val="single"/>
        </w:rPr>
      </w:pPr>
    </w:p>
    <w:p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xml:space="preserve">.  Participant Data and Record Identifiers submitted to the Oregon-MDC, shall be the exclusive property of Participant.  Participant shall retain all right, title, and interest in and to the Participant Data and Record Identifiers, subject to the rights, if any, of the patients of Participant in such information, and subject to the rights granted to QCorp 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rsidR="00EE2A7C" w:rsidRDefault="00EE2A7C">
      <w:pPr>
        <w:widowControl w:val="0"/>
        <w:tabs>
          <w:tab w:val="left" w:pos="720"/>
        </w:tabs>
        <w:ind w:left="720"/>
        <w:jc w:val="both"/>
        <w:rPr>
          <w:rFonts w:ascii="Times New Roman" w:hAnsi="Times New Roman"/>
          <w:sz w:val="22"/>
          <w:szCs w:val="22"/>
        </w:rPr>
      </w:pPr>
    </w:p>
    <w:p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During the term of this Agreement, Participant hereby grants to QCorp and its subcontractor CMQCC a non-exclusive, perpetual, irrevocable, royalty free, fully paid license to use, reproduce, aggregate, and modify Participant Data and Record Identifiers to (i)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rsidR="00EE2A7C" w:rsidRDefault="00EE2A7C">
      <w:pPr>
        <w:widowControl w:val="0"/>
        <w:tabs>
          <w:tab w:val="left" w:pos="720"/>
        </w:tabs>
        <w:ind w:left="720"/>
        <w:jc w:val="both"/>
        <w:rPr>
          <w:rFonts w:ascii="Times New Roman" w:hAnsi="Times New Roman"/>
          <w:sz w:val="22"/>
          <w:szCs w:val="22"/>
        </w:rPr>
      </w:pPr>
    </w:p>
    <w:p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QCorp 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rsidR="00EE2A7C" w:rsidRDefault="00EE2A7C">
      <w:pPr>
        <w:widowControl w:val="0"/>
        <w:tabs>
          <w:tab w:val="left" w:pos="720"/>
        </w:tabs>
        <w:ind w:left="720"/>
        <w:jc w:val="both"/>
        <w:rPr>
          <w:rFonts w:ascii="Times New Roman" w:hAnsi="Times New Roman"/>
          <w:sz w:val="22"/>
          <w:szCs w:val="22"/>
        </w:rPr>
      </w:pPr>
    </w:p>
    <w:p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QCorp and its subcontractor CMQCC a non-exclusive, perpetual, irrevocable, royalty free, fully paid license, ,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property rights therein, belong to and are retained solely by QCorp and CMQCC.  </w:t>
      </w:r>
    </w:p>
    <w:p w:rsidR="00EE2A7C" w:rsidRDefault="00EE2A7C">
      <w:pPr>
        <w:widowControl w:val="0"/>
        <w:tabs>
          <w:tab w:val="left" w:pos="720"/>
        </w:tabs>
        <w:ind w:left="72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xml:space="preserve">. This Agreement may involve each Party accessing technical or planning information or data which is confidential or proprietary to the other Party or to the QCorp’s subcontractor CMQCC for services covered under this Agreement.  Each Party agrees to treat as confidential and of a proprietary nature, and to use only for the benefit of the Parties and QCorp’s 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w:t>
      </w:r>
      <w:r>
        <w:rPr>
          <w:rFonts w:ascii="Times New Roman" w:eastAsia="Times New Roman" w:hAnsi="Times New Roman"/>
          <w:sz w:val="22"/>
          <w:szCs w:val="22"/>
        </w:rPr>
        <w:lastRenderedPageBreak/>
        <w:t>the public domain, or was known to the other Party prior to performing its Services hereunder, or was obtained by the Party from a third Party.</w:t>
      </w:r>
    </w:p>
    <w:p w:rsidR="00EE2A7C" w:rsidRDefault="00EE2A7C">
      <w:pPr>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following  Participant contact person:  </w:t>
      </w:r>
    </w:p>
    <w:p w:rsidR="00EE2A7C" w:rsidRDefault="00EE2A7C">
      <w:pPr>
        <w:pStyle w:val="BodyText"/>
        <w:tabs>
          <w:tab w:val="clear" w:pos="720"/>
        </w:tabs>
        <w:ind w:left="360"/>
        <w:rPr>
          <w:rFonts w:ascii="Times New Roman" w:hAnsi="Times New Roman"/>
          <w:sz w:val="22"/>
          <w:szCs w:val="22"/>
        </w:rPr>
      </w:pPr>
    </w:p>
    <w:p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rsidR="00EE2A7C" w:rsidRDefault="00EE2A7C">
      <w:pPr>
        <w:pStyle w:val="BodyText"/>
        <w:ind w:left="360"/>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QCorp and its subcontractor CMQCC shall have no liability for any problems relating to the electronic transmission of data or reports, whether due to problems with QCorp or its subcontractor CMQCC’s servers, the Participant’s service provider, the Participant’s use of a third Party to submit data, or otherwise.  </w:t>
      </w:r>
    </w:p>
    <w:p w:rsidR="00EE2A7C" w:rsidRDefault="00EE2A7C">
      <w:pPr>
        <w:pStyle w:val="BodyText"/>
        <w:tabs>
          <w:tab w:val="clear" w:pos="720"/>
          <w:tab w:val="num" w:pos="360"/>
        </w:tabs>
        <w:ind w:left="360"/>
        <w:jc w:val="both"/>
        <w:rPr>
          <w:rFonts w:ascii="Times New Roman" w:hAnsi="Times New Roman"/>
          <w:sz w:val="22"/>
          <w:szCs w:val="22"/>
          <w:u w:val="single"/>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QCorp and it subcontractor CMQCC provides Participant the services and rights granted in this Agreement AS IS and WITH ALL FAULTS.  QCorp and its subcontractor CMQCC makes no representations and extends no warranties of any kind, either expressed or implied.  Among other things, QCorp and its subcontractor CMQCC disclaims any express or implied warranty (a) of merchantability, of fitness for a particular purpose, (b) of non-infringement, or (c) arising out of any course of dealing.  </w:t>
      </w:r>
    </w:p>
    <w:p w:rsidR="00EE2A7C" w:rsidRDefault="00EE2A7C">
      <w:pPr>
        <w:ind w:left="360"/>
        <w:jc w:val="both"/>
        <w:rPr>
          <w:rFonts w:ascii="Times New Roman" w:hAnsi="Times New Roman"/>
          <w:sz w:val="22"/>
          <w:szCs w:val="22"/>
        </w:rPr>
      </w:pPr>
    </w:p>
    <w:p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Prior to execution of the Agreement and annually thereafter during the Term, Participant may request that QCorp furnish to Participant a certificate of insurance naming Participant and its employees, directors and officers as additional insureds on all coverages other than the Workers’ Compensation and Employer’s Liability policies.  QCorp shall have all of its insurers waive their subrogation rights against Participant and that waiver shall be noted on the certificate of insurance.  QCorp’s insurance shall be primary and non-contributory coverage and the policies shall not contain any intra-insured exclusions as between insured persons or organizations.  The limits of coverage shall not be construed as a limitation of any potential liability to Participant, and failure to request evidence of this insurance shall not be construed as a waiver of QCorp's obligation to provide the insurance coverage specified.  In the event of any material change or cancellation of the required coverages, QCorp will provide Participant with at least thirty (30) days' prior written notice.   </w:t>
      </w:r>
    </w:p>
    <w:p w:rsidR="00EE2A7C" w:rsidRDefault="00EE2A7C">
      <w:pPr>
        <w:pStyle w:val="BodyText"/>
        <w:widowControl w:val="0"/>
        <w:ind w:left="1080"/>
        <w:contextualSpacing/>
        <w:rPr>
          <w:b/>
          <w:sz w:val="22"/>
          <w:szCs w:val="22"/>
        </w:rPr>
      </w:pPr>
    </w:p>
    <w:p w:rsidR="00EE2A7C" w:rsidRDefault="00CE6D87">
      <w:pPr>
        <w:pStyle w:val="ListParagraph"/>
        <w:numPr>
          <w:ilvl w:val="0"/>
          <w:numId w:val="2"/>
        </w:numPr>
        <w:jc w:val="both"/>
        <w:rPr>
          <w:rFonts w:ascii="Times New Roman" w:hAnsi="Times New Roman"/>
          <w:u w:val="single"/>
        </w:rPr>
      </w:pPr>
      <w:r>
        <w:rPr>
          <w:rFonts w:ascii="Times New Roman" w:hAnsi="Times New Roman"/>
          <w:u w:val="single"/>
        </w:rPr>
        <w:t>Indemnification</w:t>
      </w:r>
    </w:p>
    <w:p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QCorp Indemnification</w:t>
      </w:r>
      <w:r>
        <w:rPr>
          <w:sz w:val="22"/>
          <w:szCs w:val="22"/>
        </w:rPr>
        <w:t xml:space="preserve">.  QCorp will indemnify, defend, and hold harmless Participant and its respective trustees, directors, employees, agents, subcontractors, and members (“Participant Indemnitees”) from any liability, damage, loss, or expense (including reasonable attorneys’ fees and expenses of litigation) incurred by or imposed upon the Participant or any one of them in connection with any claims, suits, actions, demands, or judgments arising out of or connected with this Agreement or the Services provided under this Agreement, except to the extent that the liability is due to the gross negligence and willful misconduct of Participant.  Participant will promptly notify QCorp of any claim and will cooperate with QCorp in the defense of the claim.  </w:t>
      </w:r>
    </w:p>
    <w:p w:rsidR="00EE2A7C" w:rsidRDefault="00EE2A7C">
      <w:pPr>
        <w:pStyle w:val="BodyText"/>
        <w:widowControl w:val="0"/>
        <w:ind w:left="2160"/>
        <w:contextualSpacing/>
        <w:jc w:val="both"/>
        <w:rPr>
          <w:sz w:val="22"/>
          <w:szCs w:val="22"/>
          <w:u w:val="single"/>
        </w:rPr>
      </w:pPr>
    </w:p>
    <w:p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Participant Indemnification</w:t>
      </w:r>
      <w:r>
        <w:rPr>
          <w:sz w:val="22"/>
          <w:szCs w:val="22"/>
        </w:rPr>
        <w:t xml:space="preserve">.  Participant will indemnify, defend, and hold harmless QCorp and its respective trustees, directors, employees, agents, subcontractors, and members (“QCorp Indemnitees”) from any liability, damage, loss, or expense (including reasonable attorneys’ fees and expenses of litigation) incurred by or imposed upon the QCorp Indemnitees or any one of them in connection with any claims, suits, actions, demands, or judgments arising out of or connected with this Agreement or the Services provided under this Agreement, except to the extent that the liability is due to the gross negligence and willful misconduct of QCorp.  QCorp will promptly notify Participant of any claim and will cooperate with Participant in the defense </w:t>
      </w:r>
      <w:r>
        <w:rPr>
          <w:sz w:val="22"/>
          <w:szCs w:val="22"/>
        </w:rPr>
        <w:lastRenderedPageBreak/>
        <w:t>of the claim.</w:t>
      </w:r>
    </w:p>
    <w:p w:rsidR="00EE2A7C" w:rsidRDefault="00EE2A7C">
      <w:pPr>
        <w:pStyle w:val="BodyText"/>
        <w:widowControl w:val="0"/>
        <w:ind w:left="2160"/>
        <w:contextualSpacing/>
        <w:jc w:val="both"/>
        <w:rPr>
          <w:rFonts w:asciiTheme="minorHAnsi" w:hAnsiTheme="minorHAnsi"/>
          <w:sz w:val="22"/>
          <w:szCs w:val="22"/>
          <w:u w:val="single"/>
        </w:rPr>
      </w:pPr>
    </w:p>
    <w:p w:rsidR="00EE2A7C" w:rsidRDefault="00CE6D87">
      <w:pPr>
        <w:pStyle w:val="BodyText"/>
        <w:widowControl w:val="0"/>
        <w:numPr>
          <w:ilvl w:val="1"/>
          <w:numId w:val="2"/>
        </w:numPr>
        <w:tabs>
          <w:tab w:val="clear" w:pos="720"/>
        </w:tabs>
        <w:contextualSpacing/>
        <w:jc w:val="both"/>
        <w:rPr>
          <w:sz w:val="22"/>
          <w:szCs w:val="22"/>
        </w:rPr>
      </w:pPr>
      <w:r>
        <w:rPr>
          <w:sz w:val="22"/>
          <w:szCs w:val="22"/>
          <w:u w:val="single"/>
        </w:rPr>
        <w:t>Survival</w:t>
      </w:r>
      <w:r>
        <w:rPr>
          <w:sz w:val="22"/>
          <w:szCs w:val="22"/>
        </w:rPr>
        <w:t>.  The provisions of this Section 15 will survive termination of this Agreement.</w:t>
      </w:r>
    </w:p>
    <w:p w:rsidR="00EE2A7C" w:rsidRDefault="00EE2A7C">
      <w:pPr>
        <w:pStyle w:val="ListParagraph"/>
        <w:spacing w:after="0" w:line="240" w:lineRule="auto"/>
        <w:ind w:left="1440"/>
        <w:contextualSpacing w:val="0"/>
        <w:rPr>
          <w:rFonts w:ascii="Times New Roman" w:hAnsi="Times New Roman"/>
          <w:u w:val="single"/>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rsidR="00EE2A7C" w:rsidRDefault="00EE2A7C">
      <w:pPr>
        <w:tabs>
          <w:tab w:val="num" w:pos="360"/>
        </w:tabs>
        <w:ind w:left="360"/>
        <w:jc w:val="both"/>
        <w:rPr>
          <w:rFonts w:ascii="Times New Roman" w:hAnsi="Times New Roman"/>
          <w:sz w:val="22"/>
          <w:szCs w:val="22"/>
        </w:rPr>
      </w:pPr>
    </w:p>
    <w:p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Medicare/Medicaid Participation</w:t>
      </w:r>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QCorp hereby represents and warrants that neither QCorp nor its principals (if applicable) are presently debarred, suspended, proposed for debarment, declared ineligible, or excluded from participation in any federally funded health care program, including Medicare and Medicaid.  QCorp hereby agrees to immediately notify Participant of any threatened, proposed, or actual debarment, suspension or exclusion from any federally funded health care program, including Medicare and Medicaid. In the event that QCorp is debarred, suspended, proposed for debarment, declared ineligible or excluded from participation in any federally funded health care program during the term of the Agreement, or if at any time after the effective date of the Agreement it is determined that QCorp is in breach of this Section, the Agreement shall, as of the effective date of such action or breach, automatically terminate.  QCorp further understands that Participant periodically checks contracted individuals and entities against the Office of Inspector General (OIG) and General Service Administration (GSA) databases of Excluded Individuals and Entities and will notify QCorp if it discovers a match.  Participant will take reasonable measures to verify that the match is the same individual or entity before taking any action to terminate any underlying agreement(s).</w:t>
      </w:r>
    </w:p>
    <w:p w:rsidR="00EE2A7C" w:rsidRDefault="00EE2A7C">
      <w:pPr>
        <w:tabs>
          <w:tab w:val="num" w:pos="360"/>
        </w:tabs>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Access to Books and Records</w:t>
      </w:r>
      <w:r>
        <w:rPr>
          <w:rFonts w:ascii="Times New Roman" w:hAnsi="Times New Roman"/>
          <w:sz w:val="22"/>
          <w:szCs w:val="22"/>
        </w:rPr>
        <w:t>. If required by law, the Comptroller General, Department of Health and Human Services and their duly authorized representatives shall have access to this Agreement and records for all times covered by this Agreement necessary to verify the nature, extent and costs of the Services provided by QCorp and included in Participant’s cost report, both during and for four (4) years after this Agreement terminates.  This access shall be provided in accordance with the provisions of Public Law 96-499, Omnibus Reconciliation Act of 1980, as amended.  The Comptroller General and his/her duly authorized representative shall have similar access to agreements subject to 42 USC 1395 between QCorp and any organization related to QCorp and to books, documents and records of QCorp and such organizations solely as they relate to the performance of the Services under this Agreement.</w:t>
      </w:r>
    </w:p>
    <w:p w:rsidR="00EE2A7C" w:rsidRDefault="00EE2A7C">
      <w:pPr>
        <w:tabs>
          <w:tab w:val="num" w:pos="360"/>
        </w:tabs>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rsidR="00EE2A7C" w:rsidRDefault="00EE2A7C">
      <w:pPr>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in connection with payments due under this Agreement and it cannot be resolved by mutual agreement after meetings between the Parties, it will be finally settled under the JAMS Comprehensive Arbitration Rules and Procedures, by one or more arbitrators appointed in accordance with the Rules.  Arbitration will be held in some mutually agreeable location.  </w:t>
      </w:r>
    </w:p>
    <w:p w:rsidR="00EE2A7C" w:rsidRDefault="00EE2A7C">
      <w:pPr>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xml:space="preserve">. None of the provisions of this Participation Agreement are intended to create any relationship between the Parties other than that of independent entities contracting with each other solely for the purpose of effecting the provisions of this Participation Agreement.  Nothing in this Participation Agreement shall constitute or be construed as constituting or intending to create an agency, partnership, joint venture, or employer/employee relationship between QCorp, its subcontractor CMQCC, and the Participant.  None of the Parties, nor any of their respective officers, directors, employees, or agents, shall have the authority to bind the other or shall be deemed or construed to be the agent, employee or representative of the other. Neither the Parties, nor any of their employees or agents, shall have any claim </w:t>
      </w:r>
      <w:r>
        <w:rPr>
          <w:rFonts w:ascii="Times New Roman" w:hAnsi="Times New Roman"/>
          <w:sz w:val="22"/>
          <w:szCs w:val="22"/>
        </w:rPr>
        <w:lastRenderedPageBreak/>
        <w:t>under this Participation Agreement or otherwise against the other Parties for workers’ compensation or any employee benefits of any kind.</w:t>
      </w:r>
    </w:p>
    <w:p w:rsidR="00EE2A7C" w:rsidRDefault="00EE2A7C">
      <w:pPr>
        <w:pStyle w:val="BodyText"/>
        <w:tabs>
          <w:tab w:val="clear" w:pos="720"/>
          <w:tab w:val="num" w:pos="360"/>
        </w:tabs>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rsidR="00EE2A7C" w:rsidRDefault="00EE2A7C">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EE2A7C">
        <w:tc>
          <w:tcPr>
            <w:tcW w:w="4518" w:type="dxa"/>
            <w:shd w:val="clear" w:color="auto" w:fill="auto"/>
          </w:tcPr>
          <w:p w:rsidR="00EE2A7C" w:rsidRDefault="00CE6D87">
            <w:pPr>
              <w:tabs>
                <w:tab w:val="left" w:pos="954"/>
              </w:tabs>
              <w:rPr>
                <w:rFonts w:ascii="Times New Roman" w:hAnsi="Times New Roman"/>
                <w:sz w:val="22"/>
                <w:szCs w:val="22"/>
                <w:highlight w:val="yellow"/>
              </w:rPr>
            </w:pPr>
            <w:r>
              <w:rPr>
                <w:rFonts w:ascii="Times New Roman" w:hAnsi="Times New Roman"/>
                <w:sz w:val="22"/>
                <w:szCs w:val="22"/>
              </w:rPr>
              <w:t>If to Participant, to:</w:t>
            </w:r>
          </w:p>
          <w:p w:rsidR="00EE2A7C" w:rsidRDefault="00EE2A7C">
            <w:pPr>
              <w:tabs>
                <w:tab w:val="left" w:pos="954"/>
              </w:tabs>
              <w:ind w:left="720"/>
              <w:rPr>
                <w:rFonts w:ascii="Times New Roman" w:hAnsi="Times New Roman"/>
                <w:sz w:val="22"/>
                <w:szCs w:val="22"/>
                <w:highlight w:val="yellow"/>
              </w:rPr>
            </w:pPr>
          </w:p>
          <w:p w:rsidR="00EE2A7C" w:rsidRDefault="00CE6D87">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rsidR="00EE2A7C" w:rsidRDefault="00CE6D87">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rsidR="00EE2A7C" w:rsidRDefault="00CE6D87">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rsidR="00EE2A7C" w:rsidRDefault="00CE6D87">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rsidR="00EE2A7C" w:rsidRDefault="00CE6D87">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rsidR="00EE2A7C" w:rsidRDefault="00CE6D87">
            <w:pPr>
              <w:ind w:left="720" w:hanging="558"/>
              <w:rPr>
                <w:rFonts w:ascii="Times New Roman" w:hAnsi="Times New Roman"/>
                <w:sz w:val="22"/>
                <w:szCs w:val="22"/>
              </w:rPr>
            </w:pPr>
            <w:r>
              <w:rPr>
                <w:rFonts w:ascii="Times New Roman" w:hAnsi="Times New Roman"/>
                <w:sz w:val="22"/>
                <w:szCs w:val="22"/>
              </w:rPr>
              <w:t>If to QCorp, to:</w:t>
            </w:r>
          </w:p>
          <w:p w:rsidR="00EE2A7C" w:rsidRDefault="00EE2A7C">
            <w:pPr>
              <w:ind w:left="720" w:hanging="558"/>
              <w:rPr>
                <w:rFonts w:ascii="Times New Roman" w:hAnsi="Times New Roman"/>
                <w:sz w:val="22"/>
                <w:szCs w:val="22"/>
              </w:rPr>
            </w:pPr>
          </w:p>
          <w:p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Mylia Christensen, Executive Director</w:t>
            </w:r>
          </w:p>
          <w:p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Oregon Health Care Quality Corporation</w:t>
            </w:r>
          </w:p>
          <w:p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rsidR="00EE2A7C" w:rsidRDefault="00CE6D87">
            <w:pPr>
              <w:ind w:left="1062" w:hanging="720"/>
              <w:rPr>
                <w:rFonts w:ascii="Times New Roman" w:hAnsi="Times New Roman"/>
                <w:sz w:val="22"/>
                <w:szCs w:val="22"/>
              </w:rPr>
            </w:pPr>
            <w:r>
              <w:rPr>
                <w:rFonts w:ascii="Times New Roman" w:hAnsi="Times New Roman"/>
                <w:sz w:val="22"/>
                <w:szCs w:val="22"/>
              </w:rPr>
              <w:t>mylia.christensen@q-corp.org</w:t>
            </w:r>
          </w:p>
          <w:p w:rsidR="00EE2A7C" w:rsidRDefault="00CE6D87">
            <w:pPr>
              <w:ind w:left="1062" w:hanging="720"/>
              <w:rPr>
                <w:rFonts w:ascii="Times New Roman" w:hAnsi="Times New Roman"/>
                <w:sz w:val="22"/>
                <w:szCs w:val="22"/>
              </w:rPr>
            </w:pPr>
            <w:r>
              <w:rPr>
                <w:rFonts w:ascii="Times New Roman" w:hAnsi="Times New Roman"/>
                <w:sz w:val="22"/>
                <w:szCs w:val="22"/>
              </w:rPr>
              <w:t>Facsimile: (503) 972-0822</w:t>
            </w:r>
          </w:p>
        </w:tc>
      </w:tr>
    </w:tbl>
    <w:p w:rsidR="00EE2A7C" w:rsidRDefault="00EE2A7C">
      <w:pPr>
        <w:pStyle w:val="BodyText"/>
        <w:tabs>
          <w:tab w:val="clear" w:pos="720"/>
          <w:tab w:val="num" w:pos="360"/>
        </w:tabs>
        <w:ind w:left="360"/>
        <w:jc w:val="both"/>
        <w:rPr>
          <w:rFonts w:ascii="Times New Roman" w:hAnsi="Times New Roman"/>
          <w:sz w:val="22"/>
          <w:szCs w:val="22"/>
        </w:rPr>
      </w:pPr>
    </w:p>
    <w:p w:rsidR="00EE2A7C" w:rsidRDefault="00CE6D87">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actually delivered or received by the addressee, as evidenced by an affidavit of service, return receipt, or similar evidence.  </w:t>
      </w:r>
    </w:p>
    <w:p w:rsidR="00EE2A7C" w:rsidRDefault="00EE2A7C">
      <w:pPr>
        <w:pStyle w:val="BodyText"/>
        <w:tabs>
          <w:tab w:val="clear" w:pos="720"/>
          <w:tab w:val="num" w:pos="360"/>
        </w:tabs>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rsidR="00EE2A7C" w:rsidRDefault="00EE2A7C">
      <w:pPr>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and QCorp,  regarding the subject matter hereof.  </w:t>
      </w:r>
    </w:p>
    <w:p w:rsidR="00EE2A7C" w:rsidRDefault="00EE2A7C">
      <w:pPr>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so as to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rsidR="00EE2A7C" w:rsidRDefault="00EE2A7C">
      <w:pPr>
        <w:pStyle w:val="BodyText"/>
        <w:tabs>
          <w:tab w:val="clear" w:pos="720"/>
          <w:tab w:val="num" w:pos="360"/>
        </w:tabs>
        <w:ind w:left="360"/>
        <w:jc w:val="both"/>
        <w:rPr>
          <w:rFonts w:ascii="Times New Roman" w:hAnsi="Times New Roman"/>
          <w:sz w:val="22"/>
          <w:szCs w:val="22"/>
        </w:rPr>
      </w:pPr>
    </w:p>
    <w:p w:rsidR="00EE2A7C" w:rsidRDefault="00CE6D87">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rsidR="00EE2A7C" w:rsidRDefault="00EE2A7C">
      <w:pPr>
        <w:ind w:left="360"/>
        <w:jc w:val="both"/>
        <w:rPr>
          <w:rFonts w:ascii="Times New Roman" w:hAnsi="Times New Roman"/>
          <w:sz w:val="22"/>
          <w:szCs w:val="22"/>
          <w:u w:val="single"/>
        </w:rPr>
      </w:pPr>
    </w:p>
    <w:p w:rsidR="00EE2A7C" w:rsidRDefault="00CE6D87">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EE2A7C" w:rsidRDefault="00EE2A7C">
      <w:pPr>
        <w:pStyle w:val="BodyText"/>
        <w:tabs>
          <w:tab w:val="clear" w:pos="720"/>
          <w:tab w:val="num" w:pos="360"/>
        </w:tabs>
        <w:ind w:left="360"/>
        <w:jc w:val="both"/>
        <w:rPr>
          <w:rFonts w:ascii="Times New Roman" w:hAnsi="Times New Roman"/>
          <w:sz w:val="22"/>
          <w:szCs w:val="22"/>
          <w:u w:val="single"/>
        </w:rPr>
      </w:pPr>
    </w:p>
    <w:p w:rsidR="00EE2A7C" w:rsidRDefault="00CE6D87">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rsidR="00EE2A7C" w:rsidRDefault="00EE2A7C">
      <w:pPr>
        <w:tabs>
          <w:tab w:val="num" w:pos="360"/>
        </w:tabs>
        <w:ind w:left="360"/>
        <w:jc w:val="both"/>
        <w:rPr>
          <w:rFonts w:ascii="Times New Roman" w:hAnsi="Times New Roman"/>
          <w:sz w:val="22"/>
          <w:szCs w:val="22"/>
        </w:rPr>
      </w:pPr>
    </w:p>
    <w:p w:rsidR="00EE2A7C" w:rsidRDefault="00CE6D87">
      <w:pPr>
        <w:tabs>
          <w:tab w:val="left" w:pos="1440"/>
        </w:tabs>
        <w:jc w:val="center"/>
        <w:rPr>
          <w:rFonts w:ascii="Times New Roman" w:hAnsi="Times New Roman"/>
          <w:i/>
        </w:rPr>
      </w:pPr>
      <w:r>
        <w:rPr>
          <w:rFonts w:ascii="Times New Roman" w:hAnsi="Times New Roman"/>
          <w:i/>
        </w:rPr>
        <w:t>[Remainder of Page Intentionally Left Blank – Signature Page Follows]</w:t>
      </w:r>
    </w:p>
    <w:p w:rsidR="00EE2A7C" w:rsidRDefault="00EE2A7C">
      <w:pPr>
        <w:tabs>
          <w:tab w:val="left" w:pos="1440"/>
        </w:tabs>
        <w:jc w:val="center"/>
        <w:rPr>
          <w:rFonts w:ascii="Times New Roman" w:hAnsi="Times New Roman"/>
          <w:i/>
        </w:rPr>
      </w:pPr>
    </w:p>
    <w:p w:rsidR="00EE2A7C" w:rsidRDefault="00EE2A7C">
      <w:pPr>
        <w:tabs>
          <w:tab w:val="left" w:pos="1440"/>
        </w:tabs>
        <w:jc w:val="center"/>
        <w:rPr>
          <w:rFonts w:ascii="Times New Roman" w:hAnsi="Times New Roman"/>
          <w:i/>
        </w:rPr>
        <w:sectPr w:rsidR="00EE2A7C">
          <w:footerReference w:type="default" r:id="rId10"/>
          <w:headerReference w:type="first" r:id="rId11"/>
          <w:footerReference w:type="first" r:id="rId12"/>
          <w:pgSz w:w="12240" w:h="15840"/>
          <w:pgMar w:top="1152" w:right="1152" w:bottom="1152" w:left="1152" w:header="720" w:footer="720" w:gutter="0"/>
          <w:pgNumType w:start="1"/>
          <w:cols w:space="720"/>
          <w:titlePg/>
          <w:docGrid w:linePitch="326"/>
        </w:sectPr>
      </w:pPr>
    </w:p>
    <w:p w:rsidR="00EE2A7C" w:rsidRDefault="00CE6D87">
      <w:pPr>
        <w:tabs>
          <w:tab w:val="left" w:pos="1440"/>
        </w:tabs>
        <w:rPr>
          <w:rFonts w:ascii="Times New Roman" w:eastAsia="Times New Roman" w:hAnsi="Times New Roman"/>
          <w:sz w:val="22"/>
          <w:szCs w:val="22"/>
        </w:rPr>
      </w:pP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EE2A7C">
        <w:tc>
          <w:tcPr>
            <w:tcW w:w="5076" w:type="dxa"/>
            <w:shd w:val="clear" w:color="auto" w:fill="auto"/>
          </w:tcPr>
          <w:p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tc>
          <w:tcPr>
            <w:tcW w:w="5076" w:type="dxa"/>
            <w:shd w:val="clear" w:color="auto" w:fill="auto"/>
          </w:tcPr>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tc>
        <w:tc>
          <w:tcPr>
            <w:tcW w:w="5076" w:type="dxa"/>
            <w:shd w:val="clear" w:color="auto" w:fill="auto"/>
          </w:tcPr>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t>Mylia Christensen</w:t>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t>Executive Director</w:t>
            </w:r>
          </w:p>
          <w:p w:rsidR="00EE2A7C" w:rsidRDefault="00EE2A7C">
            <w:pPr>
              <w:tabs>
                <w:tab w:val="left" w:pos="954"/>
              </w:tabs>
              <w:rPr>
                <w:rFonts w:ascii="Times New Roman" w:hAnsi="Times New Roman"/>
                <w:sz w:val="22"/>
                <w:szCs w:val="22"/>
              </w:rPr>
            </w:pPr>
          </w:p>
        </w:tc>
      </w:tr>
      <w:tr w:rsidR="00EE2A7C">
        <w:tc>
          <w:tcPr>
            <w:tcW w:w="5076" w:type="dxa"/>
            <w:shd w:val="clear" w:color="auto" w:fill="auto"/>
          </w:tcPr>
          <w:p w:rsidR="00EE2A7C" w:rsidRDefault="00EE2A7C">
            <w:pPr>
              <w:tabs>
                <w:tab w:val="left" w:pos="1080"/>
              </w:tabs>
              <w:rPr>
                <w:rFonts w:ascii="Times New Roman" w:hAnsi="Times New Roman"/>
                <w:sz w:val="22"/>
                <w:szCs w:val="22"/>
              </w:rPr>
            </w:pPr>
          </w:p>
        </w:tc>
        <w:tc>
          <w:tcPr>
            <w:tcW w:w="5076" w:type="dxa"/>
            <w:shd w:val="clear" w:color="auto" w:fill="auto"/>
          </w:tcPr>
          <w:p w:rsidR="00EE2A7C" w:rsidRDefault="00EE2A7C">
            <w:pPr>
              <w:tabs>
                <w:tab w:val="left" w:pos="1440"/>
              </w:tabs>
              <w:rPr>
                <w:rFonts w:ascii="Times New Roman" w:hAnsi="Times New Roman"/>
                <w:sz w:val="22"/>
                <w:szCs w:val="22"/>
              </w:rPr>
            </w:pPr>
          </w:p>
        </w:tc>
      </w:tr>
      <w:tr w:rsidR="00EE2A7C">
        <w:tc>
          <w:tcPr>
            <w:tcW w:w="5076" w:type="dxa"/>
            <w:shd w:val="clear" w:color="auto" w:fill="auto"/>
          </w:tcPr>
          <w:p w:rsidR="00EE2A7C" w:rsidRDefault="00EE2A7C">
            <w:pPr>
              <w:tabs>
                <w:tab w:val="left" w:pos="1080"/>
              </w:tabs>
              <w:rPr>
                <w:rFonts w:ascii="Times New Roman" w:hAnsi="Times New Roman"/>
                <w:sz w:val="22"/>
                <w:szCs w:val="22"/>
              </w:rPr>
            </w:pPr>
          </w:p>
        </w:tc>
        <w:tc>
          <w:tcPr>
            <w:tcW w:w="5076" w:type="dxa"/>
            <w:shd w:val="clear" w:color="auto" w:fill="auto"/>
          </w:tcPr>
          <w:p w:rsidR="00EE2A7C" w:rsidRDefault="00EE2A7C">
            <w:pPr>
              <w:tabs>
                <w:tab w:val="left" w:pos="954"/>
              </w:tabs>
              <w:rPr>
                <w:rFonts w:ascii="Times New Roman" w:hAnsi="Times New Roman"/>
                <w:sz w:val="22"/>
                <w:szCs w:val="22"/>
              </w:rPr>
            </w:pPr>
          </w:p>
        </w:tc>
      </w:tr>
      <w:tr w:rsidR="00EE2A7C">
        <w:tc>
          <w:tcPr>
            <w:tcW w:w="5076" w:type="dxa"/>
            <w:shd w:val="clear" w:color="auto" w:fill="auto"/>
          </w:tcPr>
          <w:p w:rsidR="00EE2A7C" w:rsidRDefault="00EE2A7C">
            <w:pPr>
              <w:tabs>
                <w:tab w:val="left" w:pos="1440"/>
              </w:tabs>
              <w:rPr>
                <w:rFonts w:ascii="Times New Roman" w:hAnsi="Times New Roman"/>
                <w:b/>
                <w:sz w:val="22"/>
                <w:szCs w:val="22"/>
              </w:rPr>
            </w:pPr>
          </w:p>
        </w:tc>
        <w:tc>
          <w:tcPr>
            <w:tcW w:w="5076" w:type="dxa"/>
            <w:shd w:val="clear" w:color="auto" w:fill="auto"/>
          </w:tcPr>
          <w:p w:rsidR="00EE2A7C" w:rsidRDefault="00EE2A7C">
            <w:pPr>
              <w:tabs>
                <w:tab w:val="left" w:pos="1440"/>
              </w:tabs>
              <w:rPr>
                <w:rFonts w:ascii="Times New Roman" w:hAnsi="Times New Roman"/>
                <w:b/>
                <w:sz w:val="22"/>
                <w:szCs w:val="22"/>
              </w:rPr>
            </w:pPr>
          </w:p>
        </w:tc>
      </w:tr>
    </w:tbl>
    <w:p w:rsidR="00EE2A7C" w:rsidRDefault="00EE2A7C">
      <w:pPr>
        <w:tabs>
          <w:tab w:val="left" w:pos="1440"/>
        </w:tabs>
        <w:rPr>
          <w:rFonts w:ascii="Times New Roman" w:hAnsi="Times New Roman"/>
          <w:sz w:val="22"/>
          <w:szCs w:val="22"/>
        </w:rPr>
      </w:pPr>
    </w:p>
    <w:p w:rsidR="00EE2A7C" w:rsidRDefault="00EE2A7C">
      <w:pPr>
        <w:tabs>
          <w:tab w:val="left" w:pos="1440"/>
        </w:tabs>
        <w:jc w:val="center"/>
        <w:rPr>
          <w:rFonts w:ascii="Times New Roman" w:hAnsi="Times New Roman"/>
        </w:rPr>
      </w:pPr>
    </w:p>
    <w:p w:rsidR="00EE2A7C" w:rsidRDefault="00EE2A7C">
      <w:pPr>
        <w:tabs>
          <w:tab w:val="left" w:pos="1440"/>
        </w:tabs>
        <w:jc w:val="center"/>
        <w:rPr>
          <w:rFonts w:ascii="Times New Roman" w:hAnsi="Times New Roman"/>
        </w:rPr>
        <w:sectPr w:rsidR="00EE2A7C">
          <w:headerReference w:type="first" r:id="rId13"/>
          <w:footerReference w:type="first" r:id="rId14"/>
          <w:pgSz w:w="12240" w:h="15840"/>
          <w:pgMar w:top="1152" w:right="1152" w:bottom="1152" w:left="1152" w:header="720" w:footer="720" w:gutter="0"/>
          <w:cols w:space="720"/>
          <w:titlePg/>
          <w:docGrid w:linePitch="326"/>
        </w:sectPr>
      </w:pPr>
    </w:p>
    <w:p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Attachment A</w:t>
      </w:r>
    </w:p>
    <w:p w:rsidR="00EE2A7C" w:rsidRDefault="00EE2A7C">
      <w:pPr>
        <w:tabs>
          <w:tab w:val="left" w:pos="1440"/>
        </w:tabs>
        <w:jc w:val="center"/>
        <w:rPr>
          <w:rFonts w:ascii="Times New Roman" w:hAnsi="Times New Roman"/>
          <w:b/>
          <w:sz w:val="22"/>
        </w:rPr>
      </w:pPr>
    </w:p>
    <w:p w:rsidR="00EE2A7C" w:rsidRDefault="00CE6D87">
      <w:pPr>
        <w:tabs>
          <w:tab w:val="left" w:pos="1440"/>
        </w:tabs>
        <w:jc w:val="center"/>
        <w:rPr>
          <w:rFonts w:ascii="Times New Roman" w:hAnsi="Times New Roman"/>
          <w:b/>
          <w:sz w:val="22"/>
        </w:rPr>
      </w:pPr>
      <w:r>
        <w:rPr>
          <w:rFonts w:ascii="Times New Roman" w:hAnsi="Times New Roman"/>
          <w:b/>
          <w:sz w:val="22"/>
        </w:rPr>
        <w:t>Data Elements</w:t>
      </w:r>
    </w:p>
    <w:p w:rsidR="00EE2A7C" w:rsidRDefault="00EE2A7C">
      <w:pPr>
        <w:tabs>
          <w:tab w:val="left" w:pos="1440"/>
        </w:tabs>
        <w:jc w:val="center"/>
        <w:rPr>
          <w:rFonts w:ascii="Times New Roman" w:hAnsi="Times New Roman"/>
          <w:b/>
          <w:sz w:val="22"/>
        </w:rPr>
      </w:pPr>
    </w:p>
    <w:p w:rsidR="00EE2A7C" w:rsidRDefault="00CE6D87">
      <w:pPr>
        <w:tabs>
          <w:tab w:val="left" w:pos="1440"/>
        </w:tabs>
        <w:rPr>
          <w:rFonts w:ascii="Times New Roman" w:hAnsi="Times New Roman"/>
          <w:b/>
          <w:sz w:val="22"/>
          <w:u w:val="single"/>
        </w:rPr>
      </w:pPr>
      <w:r>
        <w:rPr>
          <w:rFonts w:ascii="Times New Roman" w:hAnsi="Times New Roman"/>
          <w:b/>
          <w:sz w:val="22"/>
          <w:u w:val="single"/>
        </w:rPr>
        <w:t>Participant Data</w:t>
      </w:r>
    </w:p>
    <w:p w:rsidR="00EE2A7C" w:rsidRDefault="00EE2A7C">
      <w:pPr>
        <w:tabs>
          <w:tab w:val="left" w:pos="1440"/>
        </w:tabs>
        <w:rPr>
          <w:rFonts w:ascii="Times New Roman" w:hAnsi="Times New Roman"/>
          <w:b/>
          <w:sz w:val="22"/>
        </w:rPr>
      </w:pP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as long as such data are not individual patient identifiers </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as long as such data are not individual patient identifiers </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rsidR="00EE2A7C" w:rsidRDefault="00CE6D87">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rsidR="00EE2A7C" w:rsidRDefault="00EE2A7C">
      <w:pPr>
        <w:tabs>
          <w:tab w:val="left" w:pos="1440"/>
        </w:tabs>
        <w:jc w:val="center"/>
        <w:rPr>
          <w:rFonts w:ascii="Times New Roman" w:hAnsi="Times New Roman"/>
          <w:b/>
          <w:sz w:val="22"/>
        </w:rPr>
        <w:sectPr w:rsidR="00EE2A7C">
          <w:footerReference w:type="default" r:id="rId15"/>
          <w:pgSz w:w="12240" w:h="15840"/>
          <w:pgMar w:top="1152" w:right="1152" w:bottom="1152" w:left="1152" w:header="720" w:footer="720" w:gutter="0"/>
          <w:pgNumType w:start="1"/>
          <w:cols w:space="720"/>
          <w:docGrid w:linePitch="326"/>
        </w:sectPr>
      </w:pPr>
    </w:p>
    <w:p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 xml:space="preserve">Attachment B </w:t>
      </w:r>
    </w:p>
    <w:p w:rsidR="00EE2A7C" w:rsidRDefault="00EE2A7C">
      <w:pPr>
        <w:tabs>
          <w:tab w:val="left" w:pos="1440"/>
        </w:tabs>
        <w:jc w:val="center"/>
        <w:rPr>
          <w:rFonts w:ascii="Times New Roman" w:hAnsi="Times New Roman"/>
          <w:b/>
          <w:sz w:val="22"/>
        </w:rPr>
      </w:pPr>
    </w:p>
    <w:p w:rsidR="00EE2A7C" w:rsidRDefault="00CE6D87">
      <w:pPr>
        <w:tabs>
          <w:tab w:val="left" w:pos="1440"/>
        </w:tabs>
        <w:spacing w:after="120"/>
        <w:jc w:val="center"/>
        <w:rPr>
          <w:rFonts w:ascii="Times New Roman" w:hAnsi="Times New Roman"/>
          <w:b/>
          <w:sz w:val="22"/>
          <w:vertAlign w:val="superscript"/>
        </w:rPr>
      </w:pPr>
      <w:r>
        <w:rPr>
          <w:rFonts w:ascii="Times New Roman" w:hAnsi="Times New Roman"/>
          <w:b/>
          <w:sz w:val="22"/>
        </w:rPr>
        <w:t>Hospital Account Metrics</w:t>
      </w:r>
    </w:p>
    <w:tbl>
      <w:tblPr>
        <w:tblW w:w="11250" w:type="dxa"/>
        <w:tblInd w:w="-6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
        <w:gridCol w:w="3780"/>
        <w:gridCol w:w="900"/>
        <w:gridCol w:w="990"/>
        <w:gridCol w:w="900"/>
        <w:gridCol w:w="1440"/>
        <w:gridCol w:w="774"/>
        <w:gridCol w:w="846"/>
        <w:gridCol w:w="1170"/>
      </w:tblGrid>
      <w:tr w:rsidR="00EE2A7C">
        <w:trPr>
          <w:tblHeader/>
        </w:trPr>
        <w:tc>
          <w:tcPr>
            <w:tcW w:w="450" w:type="dxa"/>
            <w:tcBorders>
              <w:top w:val="single" w:sz="8" w:space="0" w:color="78C0D4"/>
              <w:left w:val="single" w:sz="8" w:space="0" w:color="78C0D4"/>
              <w:bottom w:val="single" w:sz="12" w:space="0" w:color="78C0D4"/>
              <w:right w:val="nil"/>
            </w:tcBorders>
            <w:shd w:val="clear" w:color="auto" w:fill="4BACC6"/>
          </w:tcPr>
          <w:p w:rsidR="00EE2A7C" w:rsidRDefault="00EE2A7C">
            <w:pPr>
              <w:ind w:left="216" w:hanging="216"/>
              <w:jc w:val="center"/>
              <w:textAlignment w:val="baseline"/>
              <w:rPr>
                <w:rFonts w:ascii="Calibri" w:eastAsia="Calibri" w:hAnsi="Calibri" w:cs="Calibri"/>
                <w:b/>
                <w:bCs/>
                <w:color w:val="FFFFFF"/>
                <w:sz w:val="16"/>
                <w:szCs w:val="16"/>
              </w:rPr>
            </w:pPr>
          </w:p>
        </w:tc>
        <w:tc>
          <w:tcPr>
            <w:tcW w:w="3780" w:type="dxa"/>
            <w:tcBorders>
              <w:top w:val="single" w:sz="8" w:space="0" w:color="78C0D4"/>
              <w:left w:val="nil"/>
              <w:bottom w:val="single" w:sz="8" w:space="0" w:color="78C0D4"/>
              <w:right w:val="single" w:sz="8" w:space="0" w:color="FFFFFF" w:themeColor="background1"/>
            </w:tcBorders>
            <w:shd w:val="clear" w:color="auto" w:fill="4BACC6"/>
          </w:tcPr>
          <w:p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themeColor="background1"/>
              <w:bottom w:val="single" w:sz="8" w:space="0" w:color="78C0D4"/>
              <w:right w:val="single" w:sz="4" w:space="0" w:color="FFFFFF" w:themeColor="background1"/>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44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System, </w:t>
            </w:r>
            <w:r>
              <w:rPr>
                <w:rFonts w:ascii="Calibri" w:eastAsia="Calibri" w:hAnsi="Calibri" w:cs="Calibri"/>
                <w:b/>
                <w:bCs/>
                <w:color w:val="FFFFFF" w:themeColor="background1"/>
                <w:sz w:val="16"/>
                <w:szCs w:val="16"/>
              </w:rPr>
              <w:t>Delivery Volume and/or Region</w:t>
            </w:r>
            <w:r>
              <w:rPr>
                <w:rFonts w:ascii="Calibri" w:eastAsia="Calibri" w:hAnsi="Calibri" w:cs="Calibri"/>
                <w:b/>
                <w:bCs/>
                <w:color w:val="FFFFFF" w:themeColor="background1"/>
                <w:sz w:val="16"/>
                <w:szCs w:val="16"/>
                <w:vertAlign w:val="superscript"/>
              </w:rPr>
              <w:t>1</w:t>
            </w:r>
          </w:p>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774"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w:t>
            </w:r>
          </w:p>
        </w:tc>
        <w:tc>
          <w:tcPr>
            <w:tcW w:w="846"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themeColor="background1"/>
                <w:sz w:val="16"/>
                <w:szCs w:val="16"/>
              </w:rPr>
              <w:t>OMDC</w:t>
            </w:r>
            <w:r>
              <w:rPr>
                <w:rFonts w:ascii="Calibri" w:eastAsia="Calibri" w:hAnsi="Calibri" w:cs="Calibri"/>
                <w:b/>
                <w:bCs/>
                <w:color w:val="FFFFFF" w:themeColor="background1"/>
                <w:sz w:val="16"/>
                <w:szCs w:val="16"/>
                <w:vertAlign w:val="superscript"/>
              </w:rPr>
              <w:t>1</w:t>
            </w:r>
          </w:p>
        </w:tc>
        <w:tc>
          <w:tcPr>
            <w:tcW w:w="1170" w:type="dxa"/>
            <w:tcBorders>
              <w:top w:val="single" w:sz="8" w:space="0" w:color="78C0D4"/>
              <w:left w:val="single" w:sz="4" w:space="0" w:color="FFFFFF" w:themeColor="background1"/>
              <w:bottom w:val="single" w:sz="8" w:space="0" w:color="78C0D4"/>
              <w:right w:val="nil"/>
            </w:tcBorders>
            <w:shd w:val="clear" w:color="auto" w:fill="4BACC6"/>
          </w:tcPr>
          <w:p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 or Benchmarks-OMDC, WSHA-MDC, and California Statewide</w:t>
            </w:r>
            <w:r>
              <w:rPr>
                <w:rFonts w:ascii="Calibri" w:eastAsia="Calibri" w:hAnsi="Calibri" w:cs="Calibri"/>
                <w:b/>
                <w:bCs/>
                <w:color w:val="FFFFFF"/>
                <w:sz w:val="16"/>
                <w:szCs w:val="16"/>
                <w:vertAlign w:val="superscript"/>
              </w:rPr>
              <w:t>2</w:t>
            </w:r>
          </w:p>
        </w:tc>
      </w:tr>
      <w:tr w:rsidR="00EE2A7C">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D2EAF1"/>
            <w:textDirection w:val="btLr"/>
          </w:tcPr>
          <w:p w:rsidR="00EE2A7C" w:rsidRDefault="00CE6D87">
            <w:pPr>
              <w:ind w:left="113"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Clinical Quality</w:t>
            </w:r>
          </w:p>
        </w:tc>
        <w:tc>
          <w:tcPr>
            <w:tcW w:w="3780" w:type="dxa"/>
            <w:tcBorders>
              <w:left w:val="single" w:sz="12" w:space="0" w:color="78C0D4"/>
              <w:right w:val="nil"/>
            </w:tcBorders>
            <w:shd w:val="clear" w:color="auto" w:fill="D2EAF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Elective Delivery &lt;39 Weeks (PC-01, CMS IQR, HEN, LF)</w:t>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Episiotomy Rate (NQF, LF)</w:t>
            </w:r>
          </w:p>
        </w:tc>
        <w:tc>
          <w:tcPr>
            <w:tcW w:w="900" w:type="dxa"/>
            <w:tcBorders>
              <w:left w:val="nil"/>
              <w:right w:val="nil"/>
            </w:tcBorders>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(PC-02, LF, RM)</w:t>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Age Adj.</w:t>
            </w:r>
          </w:p>
        </w:tc>
        <w:tc>
          <w:tcPr>
            <w:tcW w:w="900" w:type="dxa"/>
            <w:tcBorders>
              <w:left w:val="nil"/>
              <w:right w:val="nil"/>
            </w:tcBorders>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auto"/>
            <w:vAlign w:val="center"/>
          </w:tcPr>
          <w:p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vAlign w:val="center"/>
          </w:tcPr>
          <w:p w:rsidR="00EE2A7C" w:rsidRDefault="00EE2A7C">
            <w:pPr>
              <w:ind w:left="720"/>
              <w:textAlignment w:val="baseline"/>
              <w:rPr>
                <w:rFonts w:ascii="Calibri" w:eastAsia="Calibri" w:hAnsi="Calibri" w:cs="Calibri"/>
                <w:sz w:val="16"/>
                <w:szCs w:val="16"/>
              </w:rPr>
            </w:pPr>
          </w:p>
        </w:tc>
        <w:tc>
          <w:tcPr>
            <w:tcW w:w="774" w:type="dxa"/>
            <w:tcBorders>
              <w:left w:val="nil"/>
            </w:tcBorders>
          </w:tcPr>
          <w:p w:rsidR="00EE2A7C" w:rsidRDefault="00EE2A7C">
            <w:pPr>
              <w:ind w:left="720"/>
              <w:textAlignment w:val="baseline"/>
              <w:rPr>
                <w:rFonts w:ascii="Calibri" w:eastAsia="Calibri" w:hAnsi="Calibri" w:cs="Calibri"/>
                <w:sz w:val="16"/>
                <w:szCs w:val="16"/>
              </w:rPr>
            </w:pPr>
          </w:p>
        </w:tc>
        <w:tc>
          <w:tcPr>
            <w:tcW w:w="846" w:type="dxa"/>
            <w:tcBorders>
              <w:left w:val="nil"/>
              <w:right w:val="nil"/>
            </w:tcBorders>
            <w:vAlign w:val="center"/>
          </w:tcPr>
          <w:p w:rsidR="00EE2A7C" w:rsidRDefault="00EE2A7C">
            <w:pPr>
              <w:ind w:left="720"/>
              <w:textAlignment w:val="baseline"/>
              <w:rPr>
                <w:rFonts w:ascii="Calibri" w:eastAsia="Calibri" w:hAnsi="Calibri" w:cs="Calibri"/>
                <w:sz w:val="16"/>
                <w:szCs w:val="16"/>
              </w:rPr>
            </w:pPr>
          </w:p>
        </w:tc>
        <w:tc>
          <w:tcPr>
            <w:tcW w:w="1170" w:type="dxa"/>
            <w:tcBorders>
              <w:left w:val="nil"/>
            </w:tcBorders>
            <w:vAlign w:val="center"/>
          </w:tcPr>
          <w:p w:rsidR="00EE2A7C" w:rsidRDefault="00EE2A7C">
            <w:pPr>
              <w:ind w:left="720"/>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Section—Term, Singleton, Vertex (AHRQ IQI 21)</w:t>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 Section—Primary (AHRQ IQI 33, RM)</w:t>
            </w:r>
          </w:p>
        </w:tc>
        <w:tc>
          <w:tcPr>
            <w:tcW w:w="900" w:type="dxa"/>
            <w:tcBorders>
              <w:left w:val="nil"/>
              <w:right w:val="nil"/>
            </w:tcBorders>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Section-Primary (Standard)</w:t>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Rate—Total</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EE2A7C">
            <w:pPr>
              <w:ind w:left="216" w:hanging="216"/>
              <w:textAlignment w:val="baseline"/>
              <w:rPr>
                <w:rFonts w:ascii="Calibri" w:eastAsia="Calibri" w:hAnsi="Calibri" w:cs="Calibri"/>
                <w:color w:val="000000" w:themeColor="text1"/>
                <w:sz w:val="16"/>
                <w:szCs w:val="16"/>
              </w:rPr>
            </w:pP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rsidR="00EE2A7C" w:rsidRDefault="00EE2A7C">
            <w:pPr>
              <w:ind w:left="720"/>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ind w:left="720"/>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ind w:left="720"/>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ind w:left="720"/>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Induction Rate</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Failed Induction Rate</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Appropriate DVT Prophylaxis in Women Undergoing C-Section (LF)</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Operative Vaginal Delivery (RM)</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EE2A7C">
            <w:pPr>
              <w:ind w:left="216" w:hanging="216"/>
              <w:textAlignment w:val="baseline"/>
              <w:rPr>
                <w:rFonts w:ascii="Calibri" w:eastAsia="Calibri" w:hAnsi="Calibri"/>
                <w:color w:val="000000" w:themeColor="text1"/>
                <w:sz w:val="16"/>
                <w:szCs w:val="16"/>
              </w:rPr>
            </w:pP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 Instrument (AHRQ PSI 18)</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3</w:t>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w/o Instrument (AHRQ PSI 19)</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(AHRQ IQI 34 and IQI 22)</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4</w:t>
            </w: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Newborn Bilirubin Screening Prior to Discharge (LF)</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Among All Deliveries &gt;39 weeks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in Early Term Newborns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Birth Trauma - Injury to Neonate (AHRQ PSI 17)</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Unexpected Newborn Complications (NQF, RM)</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Antenatal Steroids (PC-03, LF)</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VLBW (&lt;1500g) NOT delivered at a Level III NICU (NQF)</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Exclusive Breastfeeding (PC-05)</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Morbidity with Pre-Eclampsia</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Risk Assessment on Admission</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Total Transfusions (HEN, RM)</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OB-Hemorrhage: Massive Transfusions (HEN, RM)</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highlight w:val="yellow"/>
              </w:rPr>
            </w:pPr>
            <w:r>
              <w:rPr>
                <w:rFonts w:ascii="Calibri" w:eastAsia="Calibri" w:hAnsi="Calibri"/>
                <w:color w:val="000000" w:themeColor="text1"/>
                <w:sz w:val="16"/>
                <w:szCs w:val="16"/>
              </w:rPr>
              <w:t>Timely Treatment for Severe HTN (HEN)</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Days with Pre-eclampsia (HEN)</w:t>
            </w:r>
            <w:r>
              <w:rPr>
                <w:rFonts w:ascii="Calibri" w:eastAsia="Calibri" w:hAnsi="Calibri"/>
                <w:color w:val="000000" w:themeColor="text1"/>
                <w:sz w:val="16"/>
                <w:szCs w:val="16"/>
                <w:vertAlign w:val="superscript"/>
              </w:rPr>
              <w:t xml:space="preserve">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Admissions with Pre-eclampsia (HEN)</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FFFFFF"/>
            <w:textDirection w:val="btLr"/>
          </w:tcPr>
          <w:p w:rsidR="00EE2A7C" w:rsidRDefault="00CE6D87">
            <w:pPr>
              <w:ind w:left="113" w:right="113" w:hanging="216"/>
              <w:jc w:val="center"/>
              <w:rPr>
                <w:rFonts w:ascii="Calibri" w:eastAsia="Calibri" w:hAnsi="Calibri"/>
                <w:b/>
                <w:bCs/>
                <w:sz w:val="16"/>
                <w:szCs w:val="16"/>
              </w:rPr>
            </w:pPr>
            <w:r>
              <w:rPr>
                <w:rFonts w:ascii="Calibri" w:eastAsia="Calibri" w:hAnsi="Calibri"/>
                <w:b/>
                <w:bCs/>
                <w:sz w:val="16"/>
                <w:szCs w:val="16"/>
              </w:rPr>
              <w:t>Data Quality</w:t>
            </w:r>
            <w:r>
              <w:rPr>
                <w:rFonts w:ascii="Calibri" w:eastAsia="Calibri" w:hAnsi="Calibri"/>
                <w:b/>
                <w:bCs/>
                <w:sz w:val="16"/>
                <w:szCs w:val="16"/>
                <w:vertAlign w:val="superscript"/>
              </w:rPr>
              <w:t>5</w:t>
            </w:r>
          </w:p>
        </w:tc>
        <w:tc>
          <w:tcPr>
            <w:tcW w:w="3780" w:type="dxa"/>
            <w:tcBorders>
              <w:top w:val="single" w:sz="12" w:space="0" w:color="78C0D4"/>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 Inconsistent Birth Weight (among &lt;2500 g)</w:t>
            </w:r>
          </w:p>
        </w:tc>
        <w:tc>
          <w:tcPr>
            <w:tcW w:w="900" w:type="dxa"/>
            <w:tcBorders>
              <w:top w:val="single" w:sz="12" w:space="0" w:color="78C0D4"/>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12" w:space="0" w:color="78C0D4"/>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12" w:space="0" w:color="78C0D4"/>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top w:val="single" w:sz="12" w:space="0" w:color="78C0D4"/>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top w:val="single" w:sz="12" w:space="0" w:color="78C0D4"/>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top w:val="single" w:sz="12" w:space="0" w:color="78C0D4"/>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top w:val="single" w:sz="12" w:space="0" w:color="78C0D4"/>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Birth Weight in Newborn Clinical Files</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Missing / Inconsistent GA (&lt; 37weeks)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GA in Maternal Clinical Files</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Parity in Maternal Clinical Files</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Provider</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Unlinked Mothers</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FFFFFF"/>
          </w:tcPr>
          <w:p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5 Minute APGAR</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r>
      <w:tr w:rsidR="00EE2A7C">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auto"/>
            <w:textDirection w:val="btLr"/>
          </w:tcPr>
          <w:p w:rsidR="00EE2A7C" w:rsidRDefault="00CE6D87">
            <w:pPr>
              <w:ind w:left="329"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Roadmap Measures</w:t>
            </w: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t>
            </w:r>
            <w:r>
              <w:rPr>
                <w:rFonts w:ascii="Calibri" w:eastAsia="Calibri" w:hAnsi="Calibri"/>
                <w:color w:val="000000"/>
                <w:sz w:val="16"/>
                <w:szCs w:val="16"/>
              </w:rPr>
              <w:lastRenderedPageBreak/>
              <w:t xml:space="preserve">women (RM)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lastRenderedPageBreak/>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color w:val="000000"/>
                <w:sz w:val="16"/>
                <w:szCs w:val="16"/>
              </w:rPr>
            </w:pPr>
            <w:r>
              <w:rPr>
                <w:rFonts w:ascii="Calibri" w:eastAsia="Calibri" w:hAnsi="Calibri"/>
                <w:bCs/>
                <w:color w:val="000000"/>
                <w:sz w:val="16"/>
                <w:szCs w:val="16"/>
              </w:rPr>
              <w:t xml:space="preserve">Maternal Admission to ICU and ICU days per deliveries &gt;= 20 wks gestation (RM)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D2EAF1"/>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jc w:val="both"/>
              <w:rPr>
                <w:rFonts w:ascii="Calibri" w:eastAsia="Calibri" w:hAnsi="Calibri"/>
                <w:color w:val="000000"/>
                <w:sz w:val="16"/>
                <w:szCs w:val="16"/>
              </w:rPr>
            </w:pPr>
            <w:r>
              <w:rPr>
                <w:rFonts w:ascii="Calibri" w:eastAsia="Calibri" w:hAnsi="Calibri"/>
                <w:color w:val="000000"/>
                <w:sz w:val="16"/>
                <w:szCs w:val="16"/>
              </w:rPr>
              <w:t xml:space="preserve">Percent of maternal blood transfusions per 100 deliveries &gt;= 20 weeks gestation (RM)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r w:rsidR="00EE2A7C">
        <w:tc>
          <w:tcPr>
            <w:tcW w:w="450" w:type="dxa"/>
            <w:vMerge/>
            <w:tcBorders>
              <w:top w:val="nil"/>
              <w:left w:val="single" w:sz="12" w:space="0" w:color="78C0D4"/>
              <w:bottom w:val="single" w:sz="12" w:space="0" w:color="78C0D4"/>
              <w:right w:val="single" w:sz="12" w:space="0" w:color="78C0D4"/>
            </w:tcBorders>
            <w:shd w:val="clear" w:color="auto" w:fill="auto"/>
          </w:tcPr>
          <w:p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Maternal length of stay postpartum (&gt; 4 days for vaginal, &gt;6 days for CS) </w:t>
            </w:r>
          </w:p>
        </w:tc>
        <w:tc>
          <w:tcPr>
            <w:tcW w:w="90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rsidR="00EE2A7C" w:rsidRDefault="00EE2A7C">
            <w:pPr>
              <w:numPr>
                <w:ilvl w:val="0"/>
                <w:numId w:val="36"/>
              </w:numPr>
              <w:jc w:val="center"/>
              <w:textAlignment w:val="baseline"/>
              <w:rPr>
                <w:rFonts w:ascii="Calibri" w:eastAsia="Calibri" w:hAnsi="Calibri" w:cs="Calibri"/>
                <w:sz w:val="16"/>
                <w:szCs w:val="16"/>
              </w:rPr>
            </w:pPr>
          </w:p>
        </w:tc>
      </w:tr>
    </w:tbl>
    <w:p w:rsidR="00EE2A7C" w:rsidRDefault="00EE2A7C">
      <w:pPr>
        <w:tabs>
          <w:tab w:val="left" w:pos="1440"/>
        </w:tabs>
        <w:rPr>
          <w:rFonts w:ascii="Times New Roman" w:hAnsi="Times New Roman"/>
          <w:b/>
        </w:rPr>
      </w:pPr>
    </w:p>
    <w:p w:rsidR="00EE2A7C" w:rsidRDefault="00CE6D87">
      <w:pPr>
        <w:tabs>
          <w:tab w:val="left" w:pos="1440"/>
        </w:tabs>
      </w:pPr>
      <w:r>
        <w:t>Notes:</w:t>
      </w:r>
    </w:p>
    <w:p w:rsidR="00EE2A7C" w:rsidRDefault="00CE6D87">
      <w:r>
        <w:t>1: System-level and regional metrics included as part of initial implementation; volume-based metrics and benchmarks to be implemented</w:t>
      </w:r>
    </w:p>
    <w:p w:rsidR="00EE2A7C" w:rsidRDefault="00CE6D87">
      <w:r>
        <w:t>2: Contingent on data source availability and relevant approvals; e.g. numerous metrics cannot be calculated from CA Statewide data; WSHA approval required for WSHA-MDC metrics.</w:t>
      </w:r>
    </w:p>
    <w:p w:rsidR="00EE2A7C" w:rsidRDefault="00CE6D87">
      <w:r>
        <w:t>3: Physician Level Rate encompasses all 3</w:t>
      </w:r>
      <w:r>
        <w:rPr>
          <w:vertAlign w:val="superscript"/>
        </w:rPr>
        <w:t>rd</w:t>
      </w:r>
      <w:r>
        <w:t>/4</w:t>
      </w:r>
      <w:r>
        <w:rPr>
          <w:vertAlign w:val="superscript"/>
        </w:rPr>
        <w:t>th</w:t>
      </w:r>
      <w:r>
        <w:t xml:space="preserve"> degree lacerations; not divided out by whether instrument delivery or not</w:t>
      </w:r>
    </w:p>
    <w:p w:rsidR="00EE2A7C" w:rsidRDefault="00CE6D87">
      <w:r>
        <w:t>4: Physician Level Rate is only for AHRQ IQI 34-VBAC All (Not VBAC-Uncomplicated)</w:t>
      </w:r>
    </w:p>
    <w:p w:rsidR="00EE2A7C" w:rsidRDefault="00CE6D87">
      <w:r>
        <w:t xml:space="preserve">5: Listed Data Quality metrics averages and benchmarks only for OMDC participants.  Additional data quality metrics may be calculated with additional statewide data sources (e.g. Statewide PDD and Birth Certificate data). </w:t>
      </w:r>
    </w:p>
    <w:p w:rsidR="00EE2A7C" w:rsidRDefault="00EE2A7C">
      <w:pPr>
        <w:rPr>
          <w:rFonts w:ascii="Calibri" w:hAnsi="Calibri"/>
          <w:b/>
        </w:rPr>
      </w:pPr>
    </w:p>
    <w:p w:rsidR="00EE2A7C" w:rsidRDefault="00EE2A7C">
      <w:pPr>
        <w:tabs>
          <w:tab w:val="left" w:pos="1440"/>
        </w:tabs>
        <w:rPr>
          <w:rFonts w:ascii="Times New Roman" w:hAnsi="Times New Roman"/>
          <w:b/>
          <w:sz w:val="22"/>
        </w:rPr>
      </w:pPr>
    </w:p>
    <w:p w:rsidR="00EE2A7C" w:rsidRDefault="00EE2A7C">
      <w:pPr>
        <w:tabs>
          <w:tab w:val="left" w:pos="1440"/>
        </w:tabs>
        <w:rPr>
          <w:rFonts w:ascii="Times New Roman" w:hAnsi="Times New Roman"/>
          <w:b/>
          <w:sz w:val="22"/>
        </w:rPr>
      </w:pPr>
    </w:p>
    <w:p w:rsidR="00EE2A7C" w:rsidRDefault="00EE2A7C">
      <w:pPr>
        <w:tabs>
          <w:tab w:val="left" w:pos="1440"/>
        </w:tabs>
        <w:rPr>
          <w:rFonts w:ascii="Times New Roman" w:hAnsi="Times New Roman"/>
          <w:b/>
          <w:sz w:val="22"/>
        </w:rPr>
        <w:sectPr w:rsidR="00EE2A7C">
          <w:footerReference w:type="default" r:id="rId16"/>
          <w:pgSz w:w="12240" w:h="15840"/>
          <w:pgMar w:top="1152" w:right="1152" w:bottom="1152" w:left="1152" w:header="720" w:footer="720" w:gutter="0"/>
          <w:pgNumType w:start="1"/>
          <w:cols w:space="720"/>
          <w:docGrid w:linePitch="326"/>
        </w:sectPr>
      </w:pPr>
    </w:p>
    <w:p w:rsidR="00EE2A7C" w:rsidRDefault="00CE6D87">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rsidR="00EE2A7C" w:rsidRDefault="00EE2A7C">
      <w:pPr>
        <w:tabs>
          <w:tab w:val="left" w:pos="1440"/>
        </w:tabs>
        <w:jc w:val="center"/>
        <w:rPr>
          <w:rFonts w:ascii="Times New Roman" w:hAnsi="Times New Roman"/>
          <w:b/>
          <w:sz w:val="22"/>
          <w:szCs w:val="22"/>
        </w:rPr>
      </w:pPr>
    </w:p>
    <w:p w:rsidR="00EE2A7C" w:rsidRDefault="00CE6D87">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rsidR="00EE2A7C" w:rsidRDefault="00CE6D87">
      <w:pPr>
        <w:pStyle w:val="RTBTitle"/>
        <w:rPr>
          <w:sz w:val="22"/>
          <w:szCs w:val="22"/>
          <w:lang w:bidi="en-US"/>
        </w:rPr>
      </w:pPr>
      <w:r>
        <w:rPr>
          <w:sz w:val="22"/>
          <w:szCs w:val="22"/>
          <w:lang w:bidi="en-US"/>
        </w:rPr>
        <w:t xml:space="preserve">BUSINESS ASSOCIATE AND DATA USE AGREEMENT BETWEEN </w:t>
      </w:r>
    </w:p>
    <w:p w:rsidR="00EE2A7C" w:rsidRDefault="00CE6D87">
      <w:pPr>
        <w:pStyle w:val="RTBTitle"/>
        <w:rPr>
          <w:color w:val="000000"/>
          <w:sz w:val="22"/>
          <w:szCs w:val="22"/>
          <w:lang w:bidi="en-US"/>
        </w:rPr>
      </w:pPr>
      <w:r>
        <w:rPr>
          <w:sz w:val="22"/>
          <w:szCs w:val="22"/>
          <w:lang w:bidi="en-US"/>
        </w:rPr>
        <w:t>HOSPITAL PARTICIPANT AND QCORP</w:t>
      </w:r>
    </w:p>
    <w:p w:rsidR="00EE2A7C" w:rsidRDefault="00CE6D87">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and Oregon Health Care Quality Corporation (“</w:t>
      </w:r>
      <w:r>
        <w:rPr>
          <w:b/>
          <w:sz w:val="22"/>
          <w:szCs w:val="22"/>
          <w:lang w:bidi="en-US"/>
        </w:rPr>
        <w:t>QCorp</w:t>
      </w:r>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rsidR="00EE2A7C" w:rsidRDefault="00CE6D87">
      <w:pPr>
        <w:pStyle w:val="RTBTitle"/>
        <w:rPr>
          <w:color w:val="000000"/>
          <w:sz w:val="22"/>
          <w:szCs w:val="22"/>
          <w:lang w:bidi="en-US"/>
        </w:rPr>
      </w:pPr>
      <w:r>
        <w:rPr>
          <w:sz w:val="22"/>
          <w:szCs w:val="22"/>
          <w:lang w:bidi="en-US"/>
        </w:rPr>
        <w:t>RECITALS</w:t>
      </w:r>
    </w:p>
    <w:p w:rsidR="00EE2A7C" w:rsidRDefault="00CE6D87">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t>QCorp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Participant and QCorp have entered into a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QCorp is a Business Associate of Participant in accordance with HIPAA.  </w:t>
      </w:r>
    </w:p>
    <w:p w:rsidR="00EE2A7C" w:rsidRDefault="00CE6D87">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t>QCorp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QCorp, as that term is defined in HIPAA, and CMQCC and QCorp have entered into a Subcontractor Business Associate and Data Use Agreement.  </w:t>
      </w:r>
    </w:p>
    <w:p w:rsidR="00EE2A7C" w:rsidRDefault="00CE6D87">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rsidR="00EE2A7C" w:rsidRDefault="00CE6D87">
      <w:pPr>
        <w:pStyle w:val="RTBTitle"/>
        <w:rPr>
          <w:color w:val="000000"/>
          <w:sz w:val="22"/>
          <w:szCs w:val="22"/>
          <w:lang w:bidi="en-US"/>
        </w:rPr>
      </w:pPr>
      <w:r>
        <w:rPr>
          <w:sz w:val="22"/>
          <w:szCs w:val="22"/>
          <w:lang w:bidi="en-US"/>
        </w:rPr>
        <w:t>AGREEMENT</w:t>
      </w:r>
    </w:p>
    <w:p w:rsidR="00EE2A7C" w:rsidRDefault="00CE6D87">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rsidR="00EE2A7C" w:rsidRDefault="00CE6D87">
      <w:pPr>
        <w:pStyle w:val="Legal21"/>
        <w:jc w:val="both"/>
        <w:rPr>
          <w:color w:val="000000"/>
          <w:sz w:val="22"/>
          <w:szCs w:val="22"/>
        </w:rPr>
      </w:pPr>
      <w:r>
        <w:rPr>
          <w:b/>
          <w:sz w:val="22"/>
          <w:szCs w:val="22"/>
        </w:rPr>
        <w:t>QCorp as a Business Associate</w:t>
      </w:r>
      <w:r>
        <w:rPr>
          <w:sz w:val="22"/>
          <w:szCs w:val="22"/>
        </w:rPr>
        <w:t>.  To the extent that QCorp is acting as a Business Associate of the Participant and is in possession of or has access to PHI, QCorp agrees as follows:</w:t>
      </w:r>
    </w:p>
    <w:p w:rsidR="00EE2A7C" w:rsidRDefault="00CE6D87">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r>
        <w:rPr>
          <w:sz w:val="22"/>
          <w:szCs w:val="22"/>
        </w:rPr>
        <w:t>QCorp agrees to not use or disclose PHI other than as permitted or required to perform the Services described in the Participant Agreement and/or this Agreement, as requested by the Participant, or as required by law. QCorp further agrees that no Participant PHI in any form whatsoever may be created, received, maintained, accessed or transmitted outside of the United States of America.</w:t>
      </w:r>
    </w:p>
    <w:p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QCorp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rsidR="00EE2A7C" w:rsidRDefault="00CE6D87">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QCorp agrees to report to the Participant any use or disclosure of PHI not provided for by this Agreement within five (5) days of becoming aware of such use or disclosure, as required by 45 CFR 164.410.  In addition, QCorp agrees to report to the Participant any Security Incident or Suspected Security Incident of which QCorp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QCorp to the Participant of the ongoing existence and occurrence of attempted but unsuccessful Security Incidents for which no additional notice to Participant shall be required.  Unsuccessful Security Incidents shall include, but not be limited to, pings and other broadcast attacks on QCorp’s or its agent’s firewall, port scans, unsuccessful log-on attempts, denials of service, and any combination of the above, as long as such Security Incidents do not result in unauthorized access, use or disclosure of the Participant’s electronic PHI.</w:t>
      </w:r>
    </w:p>
    <w:p w:rsidR="00EE2A7C" w:rsidRDefault="00CE6D87">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r>
        <w:rPr>
          <w:sz w:val="22"/>
          <w:szCs w:val="22"/>
        </w:rPr>
        <w:t>QCorp agrees to report to the Participant any Breach of Unsecured PHI, as defined in 45 CFR 164.402.  Following the initial notification of any such Breach, QCorp shall provide a report to Participant that includes, to the extent possible: (a) a brief description of what happened, including the date of occurrence and the date of the discovery by QCorp; (b) a description of the PHI affected, including the types of PHI involved; and (c) a brief description of what QCorp has done to investigate the Breach, to mitigate harm to Individuals, and to protect against any further Breaches. QCorp also shall provide to Participant any other available information Participant is required to include in its notification to affected Individual(s).</w:t>
      </w:r>
    </w:p>
    <w:p w:rsidR="00EE2A7C" w:rsidRDefault="00CE6D87">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r>
        <w:rPr>
          <w:sz w:val="22"/>
          <w:szCs w:val="22"/>
        </w:rPr>
        <w:t>QCorp agrees to mitigate, to the extent possible, any and all harm resulting from a use or disclosure of PHI not provided for by this Agreement, Breach of Unsecured PHI or any Security Incident resulting in potential harm.</w:t>
      </w:r>
    </w:p>
    <w:p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 xml:space="preserve">QCorp agrees to ensure that any agent or subcontractor that creates, receives, maintains, or transmits PHI, including specifically CMQCC, agrees in writing to the same restrictions, conditions, and requirements that apply through this Agreement to QCorp with respect to such PHI and agrees to implement reasonable and appropriate safeguards to protect such PHI.  </w:t>
      </w:r>
    </w:p>
    <w:p w:rsidR="00EE2A7C" w:rsidRDefault="00CE6D87">
      <w:pPr>
        <w:pStyle w:val="Legal22"/>
        <w:jc w:val="both"/>
        <w:rPr>
          <w:color w:val="000000"/>
          <w:sz w:val="22"/>
          <w:szCs w:val="22"/>
        </w:rPr>
      </w:pPr>
      <w:r>
        <w:rPr>
          <w:sz w:val="22"/>
          <w:szCs w:val="22"/>
          <w:u w:val="single"/>
        </w:rPr>
        <w:t>Books and Records</w:t>
      </w:r>
      <w:r>
        <w:rPr>
          <w:sz w:val="22"/>
          <w:szCs w:val="22"/>
        </w:rPr>
        <w:t>.  QCorp agrees to make its internal practices, books, and records relating to the use and disclosure of PHI reasonably available to the Secretary of the Department of Health and Human Services for purposes of determining the Participant’s and QCorp’s compliance with this Agreement and HIPAA.</w:t>
      </w:r>
    </w:p>
    <w:p w:rsidR="00EE2A7C" w:rsidRDefault="00CE6D87">
      <w:pPr>
        <w:pStyle w:val="Legal22"/>
        <w:jc w:val="both"/>
        <w:rPr>
          <w:color w:val="000000"/>
          <w:sz w:val="22"/>
          <w:szCs w:val="22"/>
        </w:rPr>
      </w:pPr>
      <w:r>
        <w:rPr>
          <w:sz w:val="22"/>
          <w:szCs w:val="22"/>
          <w:u w:val="single"/>
        </w:rPr>
        <w:t>Access to PHI</w:t>
      </w:r>
      <w:r>
        <w:rPr>
          <w:sz w:val="22"/>
          <w:szCs w:val="22"/>
        </w:rPr>
        <w:t>.  Because QCorp does not maintain PHI in a Designated Record Set, QCorp is not required to provide Participant or an Individual access to PHI pursuant to 45 CFR 164.524.</w:t>
      </w:r>
    </w:p>
    <w:p w:rsidR="00EE2A7C" w:rsidRDefault="00CE6D87">
      <w:pPr>
        <w:pStyle w:val="Legal22"/>
        <w:jc w:val="both"/>
        <w:rPr>
          <w:color w:val="000000"/>
          <w:sz w:val="22"/>
          <w:szCs w:val="22"/>
        </w:rPr>
      </w:pPr>
      <w:r>
        <w:rPr>
          <w:sz w:val="22"/>
          <w:szCs w:val="22"/>
          <w:u w:val="single"/>
        </w:rPr>
        <w:lastRenderedPageBreak/>
        <w:t>Amendment of PHI</w:t>
      </w:r>
      <w:r>
        <w:rPr>
          <w:sz w:val="22"/>
          <w:szCs w:val="22"/>
        </w:rPr>
        <w:t>.  Because QCorp does not maintain PHI in a Designated Record Set, QCorp is not required to provide PHI to Participant or an Individual for amendment or incorporate any such amendments in the PHI pursuant to 45 CFR 164.526.</w:t>
      </w:r>
    </w:p>
    <w:p w:rsidR="00EE2A7C" w:rsidRDefault="00CE6D87">
      <w:pPr>
        <w:pStyle w:val="Legal22"/>
        <w:jc w:val="both"/>
        <w:rPr>
          <w:color w:val="000000"/>
          <w:sz w:val="22"/>
          <w:szCs w:val="22"/>
        </w:rPr>
      </w:pPr>
      <w:r>
        <w:rPr>
          <w:sz w:val="22"/>
          <w:szCs w:val="22"/>
          <w:u w:val="single"/>
        </w:rPr>
        <w:t>Accounting of Disclosures</w:t>
      </w:r>
      <w:r>
        <w:rPr>
          <w:sz w:val="22"/>
          <w:szCs w:val="22"/>
        </w:rPr>
        <w:t>.  At the Participant’s reasonable written request, QCorp agrees to make available the information required to provide an accounting of disclosures of PHI made by QCorp as necessary to permit the Participant to respond to a request by an Individual for an accounting of disclosures of PHI in accordance with 45 CFR 164.528.</w:t>
      </w:r>
    </w:p>
    <w:p w:rsidR="00EE2A7C" w:rsidRDefault="00CE6D87">
      <w:pPr>
        <w:pStyle w:val="Legal22"/>
        <w:jc w:val="both"/>
        <w:rPr>
          <w:color w:val="000000"/>
          <w:sz w:val="22"/>
          <w:szCs w:val="22"/>
        </w:rPr>
      </w:pPr>
      <w:r>
        <w:rPr>
          <w:color w:val="000000"/>
          <w:sz w:val="22"/>
          <w:szCs w:val="22"/>
          <w:u w:val="single"/>
        </w:rPr>
        <w:t>Privacy Regulations</w:t>
      </w:r>
      <w:r>
        <w:rPr>
          <w:color w:val="000000"/>
          <w:sz w:val="22"/>
          <w:szCs w:val="22"/>
        </w:rPr>
        <w:t>.  To the extent QCorp is to carry out one or more of Participant’s obligations under Subpart E of the Privacy Rule, QCorp shall comply with the applicable requirements of Subpart E that apply to Participant Covered Entity in the performance of such obligations.</w:t>
      </w:r>
    </w:p>
    <w:p w:rsidR="00EE2A7C" w:rsidRDefault="00CE6D87">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r>
        <w:rPr>
          <w:sz w:val="22"/>
          <w:szCs w:val="22"/>
        </w:rPr>
        <w:t xml:space="preserve">QCorp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rsidR="00EE2A7C" w:rsidRDefault="00CE6D87">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QCorp agrees to (a) comply with additional restrictions or requirements on the use or disclosure of PHI that Participant has agreed to under agreements between Participant and other entities, or (b) notify Participant of the inability to comply and the obstacles affecting compliance.  QCorp agrees to execute reasonable assurances, certifications and agreements necessary to carry out the provisions of this Section 2.13.  </w:t>
      </w:r>
    </w:p>
    <w:p w:rsidR="00EE2A7C" w:rsidRDefault="00CE6D87">
      <w:pPr>
        <w:pStyle w:val="Legal22"/>
        <w:jc w:val="both"/>
        <w:rPr>
          <w:color w:val="000000"/>
          <w:sz w:val="22"/>
          <w:szCs w:val="22"/>
        </w:rPr>
      </w:pPr>
      <w:r>
        <w:rPr>
          <w:sz w:val="22"/>
          <w:szCs w:val="22"/>
          <w:u w:val="single"/>
        </w:rPr>
        <w:t>Communications</w:t>
      </w:r>
      <w:r>
        <w:rPr>
          <w:sz w:val="22"/>
          <w:szCs w:val="22"/>
        </w:rPr>
        <w:t>.  In the event that QCorp receives a communication by or on behalf of a patient who is the subject of the PHI, QCorp shall notify the Participant that submitted the information within ten (10) business days of receiving such communication.</w:t>
      </w:r>
    </w:p>
    <w:p w:rsidR="00EE2A7C" w:rsidRDefault="00CE6D87">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r>
        <w:rPr>
          <w:sz w:val="22"/>
          <w:szCs w:val="22"/>
        </w:rPr>
        <w:t>QCorp or its agents and  subcontractors including CMQCC, may use and disclose PHI for QCorp’s proper management and administration or to carry out QCorp’s legal responsibilities, provided the disclosures are required by law, or provided that, with respect to any disclosures: (a) QCorp and/or its agents obtains reasonable assurances from the person to whom PHI is disclosed that it will remain confidential and used or further disclosed only as required by law or for the purpose for which it was disclosed to the person; and (b) the person notifies QCorp and/or its agent of any instances of which it is aware in which the confidentiality of PHI has been breached.  QCorp and its agents also may make disclosures that are Required by Law. QCorp shall notify Participant of any breach within five (5) business days of becoming aware of such breach.</w:t>
      </w:r>
    </w:p>
    <w:p w:rsidR="00EE2A7C" w:rsidRDefault="00CE6D87">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QCorp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r>
        <w:rPr>
          <w:sz w:val="22"/>
          <w:szCs w:val="22"/>
        </w:rPr>
        <w:t>QCorp and its subcontractors, including CMQCC, and its agents may:</w:t>
      </w:r>
    </w:p>
    <w:p w:rsidR="00EE2A7C" w:rsidRDefault="00CE6D87">
      <w:pPr>
        <w:pStyle w:val="Legal23"/>
        <w:jc w:val="both"/>
        <w:rPr>
          <w:color w:val="000000"/>
          <w:sz w:val="22"/>
          <w:szCs w:val="22"/>
        </w:rPr>
      </w:pPr>
      <w:r>
        <w:rPr>
          <w:sz w:val="22"/>
          <w:szCs w:val="22"/>
          <w:u w:val="single"/>
        </w:rPr>
        <w:t>Data Aggregation</w:t>
      </w:r>
      <w:r>
        <w:rPr>
          <w:sz w:val="22"/>
          <w:szCs w:val="22"/>
        </w:rPr>
        <w:t>.  Provide Data Aggregation Services as defined in 45 CFR164.501, including the services provided by CMQCC to support QCorp as set forth in the Participant Agreement.</w:t>
      </w:r>
    </w:p>
    <w:p w:rsidR="00EE2A7C" w:rsidRDefault="00CE6D87">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rsidR="00EE2A7C" w:rsidRDefault="00CE6D87">
      <w:pPr>
        <w:pStyle w:val="Legal23"/>
        <w:jc w:val="both"/>
        <w:rPr>
          <w:color w:val="000000"/>
          <w:sz w:val="22"/>
          <w:szCs w:val="22"/>
        </w:rPr>
      </w:pPr>
      <w:r>
        <w:rPr>
          <w:sz w:val="22"/>
          <w:szCs w:val="22"/>
          <w:u w:val="single"/>
        </w:rPr>
        <w:lastRenderedPageBreak/>
        <w:t>Limited Data Sets</w:t>
      </w:r>
      <w:r>
        <w:rPr>
          <w:sz w:val="22"/>
          <w:szCs w:val="22"/>
        </w:rPr>
        <w:t xml:space="preserve">.  Create, maintain, use, and/or disclose Limited Data Sets based on Participant Data as set forth in Section 3. </w:t>
      </w:r>
    </w:p>
    <w:p w:rsidR="00EE2A7C" w:rsidRDefault="00CE6D87">
      <w:pPr>
        <w:pStyle w:val="Legal21"/>
        <w:jc w:val="both"/>
        <w:rPr>
          <w:color w:val="000000"/>
          <w:sz w:val="22"/>
          <w:szCs w:val="22"/>
        </w:rPr>
      </w:pPr>
      <w:r>
        <w:rPr>
          <w:b/>
          <w:sz w:val="22"/>
          <w:szCs w:val="22"/>
        </w:rPr>
        <w:t>QCorp as a Recipient of Limited Data Sets</w:t>
      </w:r>
      <w:r>
        <w:rPr>
          <w:sz w:val="22"/>
          <w:szCs w:val="22"/>
        </w:rPr>
        <w:t>.  To the extent that QCorp is a recipient of a Limited Data Set in the course of performing the services, QCorp shall:</w:t>
      </w:r>
    </w:p>
    <w:p w:rsidR="00EE2A7C" w:rsidRDefault="00CE6D87">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By Law, and shall not use or further disclose the Limited Data Set in a manner that would violate HIPAA if done by the Participant.  The Parties agree and acknowledge that nothing in this section limits QCorp’s ability to aggregate and de-identify the PHI contained in a Limited Data Set to provide the services or as provided for in this Agreement and the Participant Agreement.</w:t>
      </w:r>
    </w:p>
    <w:p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rsidR="00EE2A7C" w:rsidRDefault="00CE6D87">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Report to the Participant any use or disclosure of PHI contained in the Limited Data Set of which QCorp becomes aware that is not provided for by this Agreement within five (5) business days of becoming aware of such inappropriate use or disclosure.</w:t>
      </w:r>
    </w:p>
    <w:p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Ensure that any agents or subcontractors, including CMQCC, agree to the same restrictions and conditions that apply to QCorp under this Agreement.</w:t>
      </w:r>
    </w:p>
    <w:p w:rsidR="00EE2A7C" w:rsidRDefault="00CE6D87">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rsidR="00EE2A7C" w:rsidRDefault="00CE6D87">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QCorp discloses data in a Limited Data Set that is consistent with the purposes of the Participant Agreement and terms of this Agreement and Participation Agreement. </w:t>
      </w:r>
    </w:p>
    <w:p w:rsidR="00EE2A7C" w:rsidRDefault="00CE6D87">
      <w:pPr>
        <w:pStyle w:val="Legal21"/>
        <w:jc w:val="both"/>
        <w:rPr>
          <w:color w:val="000000"/>
          <w:sz w:val="22"/>
          <w:szCs w:val="22"/>
        </w:rPr>
      </w:pPr>
      <w:r>
        <w:rPr>
          <w:b/>
          <w:sz w:val="22"/>
          <w:szCs w:val="22"/>
        </w:rPr>
        <w:t>The Participant’s Obligations</w:t>
      </w:r>
      <w:r>
        <w:rPr>
          <w:sz w:val="22"/>
          <w:szCs w:val="22"/>
        </w:rPr>
        <w:t>.</w:t>
      </w:r>
    </w:p>
    <w:p w:rsidR="00EE2A7C" w:rsidRDefault="00CE6D87">
      <w:pPr>
        <w:pStyle w:val="Legal22"/>
        <w:jc w:val="both"/>
        <w:rPr>
          <w:color w:val="000000"/>
          <w:sz w:val="22"/>
          <w:szCs w:val="22"/>
        </w:rPr>
      </w:pPr>
      <w:r>
        <w:rPr>
          <w:sz w:val="22"/>
          <w:szCs w:val="22"/>
          <w:u w:val="single"/>
        </w:rPr>
        <w:t>Requests for Uses or Disclosures</w:t>
      </w:r>
      <w:r>
        <w:rPr>
          <w:sz w:val="22"/>
          <w:szCs w:val="22"/>
        </w:rPr>
        <w:t>.  The Participant shall not request QCorp, subcontractors including CMQCC, or its agent to use or disclose PHI in any manner that would not be permissible under Subpart E of 45 CFR Part 164 if done by the Participant.</w:t>
      </w:r>
    </w:p>
    <w:p w:rsidR="00EE2A7C" w:rsidRDefault="00CE6D87">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rsidR="00EE2A7C" w:rsidRDefault="00CE6D87">
      <w:pPr>
        <w:pStyle w:val="Legal22"/>
        <w:jc w:val="both"/>
        <w:rPr>
          <w:color w:val="000000"/>
          <w:sz w:val="22"/>
          <w:szCs w:val="22"/>
        </w:rPr>
      </w:pPr>
      <w:r>
        <w:rPr>
          <w:sz w:val="22"/>
          <w:szCs w:val="22"/>
          <w:u w:val="single"/>
        </w:rPr>
        <w:t>Restrictions on Uses or Disclosures</w:t>
      </w:r>
      <w:r>
        <w:rPr>
          <w:sz w:val="22"/>
          <w:szCs w:val="22"/>
        </w:rPr>
        <w:t xml:space="preserve">.  Participant shall notify QCorp of any additional restrictions or requirements on the use or disclosure of PHI that Participant has agreed to abide by under </w:t>
      </w:r>
      <w:r>
        <w:rPr>
          <w:rFonts w:eastAsia="Times New Roman"/>
        </w:rPr>
        <w:t>45 CFR 164.522 t</w:t>
      </w:r>
      <w:r>
        <w:rPr>
          <w:sz w:val="22"/>
          <w:szCs w:val="22"/>
        </w:rPr>
        <w:t>o the extent that such restrictions may affect QCorp’s use or disclosure of PHI.</w:t>
      </w:r>
    </w:p>
    <w:p w:rsidR="00EE2A7C" w:rsidRDefault="00CE6D87">
      <w:pPr>
        <w:pStyle w:val="Legal22"/>
        <w:jc w:val="both"/>
        <w:rPr>
          <w:color w:val="000000"/>
          <w:sz w:val="22"/>
          <w:szCs w:val="22"/>
        </w:rPr>
      </w:pPr>
      <w:r>
        <w:rPr>
          <w:sz w:val="22"/>
          <w:szCs w:val="22"/>
          <w:u w:val="single"/>
        </w:rPr>
        <w:t>Individual Permission</w:t>
      </w:r>
      <w:r>
        <w:rPr>
          <w:sz w:val="22"/>
          <w:szCs w:val="22"/>
        </w:rPr>
        <w:t>.  Participant shall notify QCorp of any notifications that Participant receives from individuals or their representatives that reflect changes in, or revocation of the permission by an individual to use or disclose his or her PHI to the extent that such notification may affect QCorp’s use or disclosure of PHI</w:t>
      </w:r>
      <w:r>
        <w:rPr>
          <w:color w:val="000000"/>
          <w:sz w:val="22"/>
          <w:szCs w:val="22"/>
        </w:rPr>
        <w:t xml:space="preserve">.  </w:t>
      </w:r>
    </w:p>
    <w:p w:rsidR="00EE2A7C" w:rsidRDefault="00CE6D87">
      <w:pPr>
        <w:pStyle w:val="Legal21"/>
        <w:keepNext/>
        <w:keepLines/>
        <w:jc w:val="both"/>
        <w:rPr>
          <w:color w:val="000000"/>
          <w:sz w:val="22"/>
          <w:szCs w:val="22"/>
        </w:rPr>
      </w:pPr>
      <w:r>
        <w:rPr>
          <w:b/>
          <w:sz w:val="22"/>
          <w:szCs w:val="22"/>
        </w:rPr>
        <w:lastRenderedPageBreak/>
        <w:t>Term and Termination</w:t>
      </w:r>
      <w:r>
        <w:rPr>
          <w:sz w:val="22"/>
          <w:szCs w:val="22"/>
        </w:rPr>
        <w:t>.</w:t>
      </w:r>
    </w:p>
    <w:p w:rsidR="00EE2A7C" w:rsidRDefault="00CE6D87">
      <w:pPr>
        <w:pStyle w:val="Legal22"/>
        <w:jc w:val="both"/>
        <w:rPr>
          <w:color w:val="000000"/>
          <w:sz w:val="22"/>
          <w:szCs w:val="22"/>
        </w:rPr>
      </w:pPr>
      <w:r>
        <w:rPr>
          <w:sz w:val="22"/>
          <w:szCs w:val="22"/>
          <w:u w:val="single"/>
        </w:rPr>
        <w:t>Term</w:t>
      </w:r>
      <w:r>
        <w:rPr>
          <w:sz w:val="22"/>
          <w:szCs w:val="22"/>
        </w:rPr>
        <w:t>.  This Agreement shall be effective as of the Effective Date of the Participant Agreement and shall terminate when all PHI is destroyed or returned to the Participant.  If QCorp, its subcontractors including CMQCC, or its agents determine, in accordance with subsection 5.3.2 below, that it is infeasible to return or destroy PHI, the protections of this Agreement with respect to such PHI shall remain in effect until such PHI is returned or destroyed.</w:t>
      </w:r>
    </w:p>
    <w:p w:rsidR="00EE2A7C" w:rsidRDefault="00CE6D87">
      <w:pPr>
        <w:pStyle w:val="Legal22"/>
        <w:jc w:val="both"/>
        <w:rPr>
          <w:color w:val="000000"/>
          <w:sz w:val="22"/>
          <w:szCs w:val="22"/>
        </w:rPr>
      </w:pPr>
      <w:r>
        <w:rPr>
          <w:sz w:val="22"/>
          <w:szCs w:val="22"/>
          <w:u w:val="single"/>
        </w:rPr>
        <w:t>Termination</w:t>
      </w:r>
      <w:r>
        <w:rPr>
          <w:sz w:val="22"/>
          <w:szCs w:val="22"/>
        </w:rPr>
        <w:t>.  Upon the Participant’s knowledge of a material breach by QCorp, subcontractors including CMQCC, or its agents, Participant shall, at the Participant’s option (a) provide an opportunity for QCorp, subcontractors including CMQCC, and its agents to cure the breach or end the violation and may terminate this Agreement with QCorp if QCorp, subcontractors including CMQCC, and its agents do not cure the breach or end the violation within the time specified by the Participant, which shall not be less than thirty (30) days; (b) immediately terminate this Agreement with QCorp in the event of a material breach or in the event that cure is not possible; and/or (c) in the event that termination of this Agreement is infeasible, report the breach to the Secretary of the U.S. Department of Health and Human Services.</w:t>
      </w:r>
    </w:p>
    <w:p w:rsidR="00EE2A7C" w:rsidRDefault="00CE6D87">
      <w:pPr>
        <w:pStyle w:val="Legal22"/>
        <w:jc w:val="both"/>
        <w:rPr>
          <w:color w:val="000000"/>
          <w:sz w:val="22"/>
          <w:szCs w:val="22"/>
        </w:rPr>
      </w:pPr>
      <w:r>
        <w:rPr>
          <w:sz w:val="22"/>
          <w:szCs w:val="22"/>
          <w:u w:val="single"/>
        </w:rPr>
        <w:t>Effect of Termination</w:t>
      </w:r>
      <w:r>
        <w:rPr>
          <w:sz w:val="22"/>
          <w:szCs w:val="22"/>
        </w:rPr>
        <w:t>.</w:t>
      </w:r>
    </w:p>
    <w:p w:rsidR="00EE2A7C" w:rsidRDefault="00CE6D87">
      <w:pPr>
        <w:pStyle w:val="Legal23"/>
        <w:jc w:val="both"/>
        <w:rPr>
          <w:color w:val="000000"/>
          <w:sz w:val="22"/>
          <w:szCs w:val="22"/>
        </w:rPr>
      </w:pPr>
      <w:r>
        <w:rPr>
          <w:sz w:val="22"/>
          <w:szCs w:val="22"/>
        </w:rPr>
        <w:t>Except as otherwise provided in subsection 5.3.2 below, upon termination of the Participant Agreement for any reason, QCorp, subcontractors including CMQCC, and its agents shall (a) return the submitted PHI or (b) destroy the submitted, created and maintained PHI if agreed to by the Participant.</w:t>
      </w:r>
    </w:p>
    <w:p w:rsidR="00EE2A7C" w:rsidRDefault="00CE6D87">
      <w:pPr>
        <w:pStyle w:val="Legal23"/>
        <w:jc w:val="both"/>
        <w:rPr>
          <w:color w:val="000000"/>
          <w:sz w:val="22"/>
          <w:szCs w:val="22"/>
        </w:rPr>
      </w:pPr>
      <w:r>
        <w:rPr>
          <w:sz w:val="22"/>
          <w:szCs w:val="22"/>
        </w:rPr>
        <w:t>If QCorp and Participant agree that returning or destroying any or all PHI is infeasible, QCorp, subcontractors including CMQCC, and/or its agents shall extend the protections of this Agreement to such PHI and limit further uses and disclosures of PHI to those purposes that make the return or destruction infeasible, for as long as QCorp, subcontractors including CMQCC, or its agents maintain such PHI. The Participant hereby acknowledges and agrees that infeasibility includes QCorp’s, subcontractors’ including CMQCC, or its agents’ need to retain information for work product documentation purposes, its legal responsibilities or such other purposes as described in the Participant Agreement.</w:t>
      </w:r>
    </w:p>
    <w:p w:rsidR="00EE2A7C" w:rsidRDefault="00CE6D87">
      <w:pPr>
        <w:pStyle w:val="Legal23"/>
        <w:jc w:val="both"/>
        <w:rPr>
          <w:color w:val="000000"/>
          <w:sz w:val="22"/>
          <w:szCs w:val="22"/>
        </w:rPr>
      </w:pPr>
      <w:r>
        <w:rPr>
          <w:sz w:val="22"/>
          <w:szCs w:val="22"/>
        </w:rPr>
        <w:t>In the event that QCorp or any subcontractors including CMQCC, retain PHI under Section 5.3.2, the entities retaining such information shall:</w:t>
      </w:r>
    </w:p>
    <w:p w:rsidR="00EE2A7C" w:rsidRDefault="00CE6D87">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rsidR="00EE2A7C" w:rsidRDefault="00CE6D87">
      <w:pPr>
        <w:pStyle w:val="Legal24"/>
        <w:jc w:val="both"/>
        <w:rPr>
          <w:color w:val="000000"/>
          <w:sz w:val="22"/>
          <w:szCs w:val="22"/>
        </w:rPr>
      </w:pPr>
      <w:r>
        <w:rPr>
          <w:sz w:val="22"/>
          <w:szCs w:val="22"/>
        </w:rPr>
        <w:tab/>
        <w:t>Return to Participant or destroy the remaining PHI that QCorp or any subcontractors, including CMQCC, still maintain in any form;</w:t>
      </w:r>
    </w:p>
    <w:p w:rsidR="00EE2A7C" w:rsidRDefault="00CE6D87">
      <w:pPr>
        <w:pStyle w:val="Legal24"/>
        <w:jc w:val="both"/>
        <w:rPr>
          <w:color w:val="000000"/>
          <w:sz w:val="22"/>
          <w:szCs w:val="22"/>
        </w:rPr>
      </w:pPr>
      <w:r>
        <w:rPr>
          <w:sz w:val="22"/>
          <w:szCs w:val="22"/>
        </w:rPr>
        <w:tab/>
        <w:t>Continue to use appropriate safeguards and comply with Subpart C of 45 CFR Part 164 with respect to Electronic PHI to prevent use or disclosure of the PHI, other than as provided for in this Section, for as long as QCorp or any subcontractors, including CMQCC, retain the PHI;</w:t>
      </w:r>
    </w:p>
    <w:p w:rsidR="00EE2A7C" w:rsidRDefault="00CE6D87">
      <w:pPr>
        <w:pStyle w:val="Legal24"/>
        <w:jc w:val="both"/>
        <w:rPr>
          <w:color w:val="000000"/>
          <w:sz w:val="22"/>
          <w:szCs w:val="22"/>
        </w:rPr>
      </w:pPr>
      <w:r>
        <w:rPr>
          <w:sz w:val="22"/>
          <w:szCs w:val="22"/>
        </w:rPr>
        <w:tab/>
        <w:t>Not use or disclose the PHI retained other than for the purposes for which such PHI was retained and subject to the same conditions related to the permitted uses and disclosures by QCorp which applied prior to termination; and</w:t>
      </w:r>
    </w:p>
    <w:p w:rsidR="00EE2A7C" w:rsidRDefault="00CE6D87">
      <w:pPr>
        <w:pStyle w:val="Legal24"/>
        <w:jc w:val="both"/>
        <w:rPr>
          <w:color w:val="000000"/>
          <w:sz w:val="22"/>
          <w:szCs w:val="22"/>
        </w:rPr>
      </w:pPr>
      <w:r>
        <w:rPr>
          <w:sz w:val="22"/>
          <w:szCs w:val="22"/>
        </w:rPr>
        <w:tab/>
        <w:t>Return to Participant or destroy the PHI retained by QCorp or subcontractors including CMQCC when it is no longer needed by QCorp or any subcontractors including CMQCC for its proper management and administration or to carry out its legal responsibilities.</w:t>
      </w:r>
    </w:p>
    <w:p w:rsidR="00EE2A7C" w:rsidRDefault="00CE6D87">
      <w:pPr>
        <w:pStyle w:val="Legal21"/>
        <w:keepNext/>
        <w:keepLines/>
        <w:jc w:val="both"/>
        <w:rPr>
          <w:color w:val="000000"/>
          <w:sz w:val="22"/>
          <w:szCs w:val="22"/>
        </w:rPr>
      </w:pPr>
      <w:r>
        <w:rPr>
          <w:b/>
          <w:sz w:val="22"/>
          <w:szCs w:val="22"/>
        </w:rPr>
        <w:lastRenderedPageBreak/>
        <w:t>Miscellaneous</w:t>
      </w:r>
      <w:r>
        <w:rPr>
          <w:sz w:val="22"/>
          <w:szCs w:val="22"/>
        </w:rPr>
        <w:t>.</w:t>
      </w:r>
    </w:p>
    <w:p w:rsidR="00EE2A7C" w:rsidRDefault="00CE6D87">
      <w:pPr>
        <w:pStyle w:val="Legal22"/>
        <w:jc w:val="both"/>
        <w:rPr>
          <w:color w:val="000000"/>
          <w:sz w:val="22"/>
          <w:szCs w:val="22"/>
        </w:rPr>
      </w:pPr>
      <w:r>
        <w:rPr>
          <w:sz w:val="22"/>
          <w:szCs w:val="22"/>
          <w:u w:val="single"/>
        </w:rPr>
        <w:t>Regulatory References</w:t>
      </w:r>
      <w:r>
        <w:rPr>
          <w:sz w:val="22"/>
          <w:szCs w:val="22"/>
        </w:rPr>
        <w:t>.  A reference in this Agreement to a HIPAA provision means the section as in effect or as amended and for which compliance is required.</w:t>
      </w:r>
    </w:p>
    <w:p w:rsidR="00EE2A7C" w:rsidRDefault="00CE6D87">
      <w:pPr>
        <w:pStyle w:val="Legal22"/>
        <w:jc w:val="both"/>
        <w:rPr>
          <w:color w:val="000000"/>
          <w:sz w:val="22"/>
          <w:szCs w:val="22"/>
        </w:rPr>
      </w:pPr>
      <w:r>
        <w:rPr>
          <w:color w:val="000000"/>
          <w:sz w:val="22"/>
          <w:szCs w:val="22"/>
          <w:u w:val="single"/>
        </w:rPr>
        <w:t>Interpretation</w:t>
      </w:r>
      <w:r>
        <w:rPr>
          <w:color w:val="000000"/>
          <w:sz w:val="22"/>
          <w:szCs w:val="22"/>
        </w:rPr>
        <w:t>. Any ambiguity in this Agreement shall be interpreted to permit compliance with HIPAA.</w:t>
      </w:r>
    </w:p>
    <w:p w:rsidR="00EE2A7C" w:rsidRDefault="00CE6D87">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rsidR="00EE2A7C" w:rsidRDefault="00CE6D87">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rsidR="00EE2A7C" w:rsidRDefault="00CE6D87">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rsidR="00EE2A7C" w:rsidRDefault="00CE6D87">
      <w:pPr>
        <w:ind w:left="720"/>
        <w:rPr>
          <w:rFonts w:ascii="Times New Roman" w:hAnsi="Times New Roman"/>
          <w:sz w:val="22"/>
          <w:szCs w:val="22"/>
        </w:rPr>
      </w:pPr>
      <w:r>
        <w:rPr>
          <w:rFonts w:ascii="Times New Roman" w:hAnsi="Times New Roman"/>
          <w:sz w:val="22"/>
          <w:szCs w:val="22"/>
        </w:rPr>
        <w:t>If to Participant, to:</w:t>
      </w:r>
    </w:p>
    <w:p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rsidR="00EE2A7C" w:rsidRDefault="00CE6D87">
      <w:pPr>
        <w:ind w:left="1440"/>
        <w:rPr>
          <w:rFonts w:ascii="Times New Roman" w:hAnsi="Times New Roman"/>
          <w:sz w:val="22"/>
          <w:szCs w:val="22"/>
        </w:rPr>
      </w:pPr>
      <w:r>
        <w:rPr>
          <w:rFonts w:ascii="Times New Roman" w:hAnsi="Times New Roman"/>
          <w:sz w:val="22"/>
          <w:szCs w:val="22"/>
        </w:rPr>
        <w:t>Attention: _____________________</w:t>
      </w:r>
    </w:p>
    <w:p w:rsidR="00EE2A7C" w:rsidRDefault="00CE6D87">
      <w:pPr>
        <w:ind w:left="720" w:firstLine="720"/>
        <w:rPr>
          <w:rFonts w:ascii="Times New Roman" w:hAnsi="Times New Roman"/>
          <w:sz w:val="22"/>
          <w:szCs w:val="22"/>
        </w:rPr>
      </w:pPr>
      <w:r>
        <w:rPr>
          <w:rFonts w:ascii="Times New Roman" w:hAnsi="Times New Roman"/>
          <w:sz w:val="22"/>
          <w:szCs w:val="22"/>
        </w:rPr>
        <w:t>Facsimile: _____________________</w:t>
      </w:r>
    </w:p>
    <w:p w:rsidR="00EE2A7C" w:rsidRDefault="00EE2A7C">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EE2A7C">
        <w:tc>
          <w:tcPr>
            <w:tcW w:w="4878" w:type="dxa"/>
            <w:shd w:val="clear" w:color="auto" w:fill="auto"/>
          </w:tcPr>
          <w:p w:rsidR="00EE2A7C" w:rsidRDefault="00CE6D87">
            <w:pPr>
              <w:rPr>
                <w:rFonts w:ascii="Times New Roman" w:hAnsi="Times New Roman"/>
                <w:sz w:val="22"/>
                <w:szCs w:val="22"/>
              </w:rPr>
            </w:pPr>
            <w:r>
              <w:rPr>
                <w:rFonts w:ascii="Times New Roman" w:hAnsi="Times New Roman"/>
                <w:sz w:val="22"/>
                <w:szCs w:val="22"/>
              </w:rPr>
              <w:t>If to QCorp, to:</w:t>
            </w:r>
          </w:p>
          <w:p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Mylia Christensen, Executive Director</w:t>
            </w:r>
          </w:p>
          <w:p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Oregon Health Care Quality Corporation</w:t>
            </w:r>
          </w:p>
          <w:p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rsidR="00EE2A7C" w:rsidRDefault="00CE6D87">
            <w:pPr>
              <w:ind w:left="1062" w:hanging="702"/>
              <w:rPr>
                <w:rFonts w:ascii="Times New Roman" w:hAnsi="Times New Roman"/>
                <w:sz w:val="22"/>
                <w:szCs w:val="22"/>
              </w:rPr>
            </w:pPr>
            <w:r>
              <w:rPr>
                <w:rFonts w:ascii="Times New Roman" w:hAnsi="Times New Roman"/>
                <w:sz w:val="22"/>
                <w:szCs w:val="22"/>
              </w:rPr>
              <w:t>mylia.christensen@q-corp.org</w:t>
            </w:r>
          </w:p>
          <w:p w:rsidR="00EE2A7C" w:rsidRDefault="00CE6D87">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rsidR="00EE2A7C" w:rsidRDefault="00EE2A7C">
            <w:pPr>
              <w:ind w:left="792"/>
              <w:rPr>
                <w:rFonts w:ascii="Times New Roman" w:hAnsi="Times New Roman"/>
                <w:sz w:val="22"/>
                <w:szCs w:val="22"/>
              </w:rPr>
            </w:pPr>
          </w:p>
        </w:tc>
      </w:tr>
    </w:tbl>
    <w:p w:rsidR="00EE2A7C" w:rsidRDefault="00EE2A7C">
      <w:pPr>
        <w:jc w:val="both"/>
        <w:rPr>
          <w:rFonts w:ascii="Times New Roman" w:eastAsia="Times New Roman" w:hAnsi="Times New Roman"/>
          <w:color w:val="000000"/>
          <w:sz w:val="22"/>
          <w:szCs w:val="22"/>
          <w:lang w:bidi="en-US"/>
        </w:rPr>
      </w:pPr>
    </w:p>
    <w:p w:rsidR="00EE2A7C" w:rsidRDefault="00CE6D87">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rsidR="00EE2A7C" w:rsidRDefault="00CE6D87">
      <w:pPr>
        <w:pStyle w:val="Legal22"/>
        <w:jc w:val="both"/>
        <w:rPr>
          <w:color w:val="000000"/>
          <w:sz w:val="22"/>
          <w:szCs w:val="22"/>
        </w:rPr>
      </w:pPr>
      <w:r>
        <w:rPr>
          <w:iCs/>
          <w:color w:val="000000"/>
          <w:sz w:val="22"/>
          <w:szCs w:val="22"/>
          <w:u w:val="single"/>
        </w:rPr>
        <w:t>Independent Contractors</w:t>
      </w:r>
      <w:r>
        <w:rPr>
          <w:iCs/>
          <w:color w:val="000000"/>
          <w:sz w:val="22"/>
          <w:szCs w:val="22"/>
        </w:rPr>
        <w:t>.  No provision of this Agreement is intended to create, nor shall be deemed or construed to create, any employment, agency or joint venture relationship between QCorp and Participant other than that of independent entities contracting with each other hereunder solely for the purpose of effectuating the provisions of this Agreement.  The Parties have reviewed the factors to determine whether an agency relationship exists under the federal common law of agency and it is not the intention of either QCorp or Participant that QCorp constitute an “agent” under such common law.</w:t>
      </w:r>
    </w:p>
    <w:p w:rsidR="00EE2A7C" w:rsidRDefault="00CE6D87">
      <w:pPr>
        <w:pStyle w:val="Legal22"/>
        <w:jc w:val="both"/>
        <w:rPr>
          <w:color w:val="000000"/>
          <w:sz w:val="22"/>
          <w:szCs w:val="22"/>
        </w:rPr>
      </w:pPr>
      <w:r>
        <w:rPr>
          <w:sz w:val="22"/>
          <w:szCs w:val="22"/>
          <w:u w:val="single"/>
        </w:rPr>
        <w:t>Indemnity</w:t>
      </w:r>
      <w:r>
        <w:rPr>
          <w:sz w:val="22"/>
          <w:szCs w:val="22"/>
        </w:rPr>
        <w:t>.  QCorp shall indemnify, defend and hold Participant (and Participant’s agents and employees) harmless from all claims, damages, losses and expenses (including attorneys’ fees) arising out of or resulting from any claim, action, or other proceeding (including any proceeding by any employees, agents or contractors) that is based upon (a) QCorp’s breach of this Agreement, (b) any negligent or willful act or omission of QCorp in connection with this Agreement, or (c) the infringement or misappropriation of any foreign or United States patent, copyright, trade secret, or other proprietary right by QCorp in connection with this Agreement.</w:t>
      </w:r>
    </w:p>
    <w:p w:rsidR="00EE2A7C" w:rsidRDefault="00CE6D87">
      <w:pPr>
        <w:pStyle w:val="Legal22"/>
        <w:jc w:val="both"/>
        <w:rPr>
          <w:color w:val="000000"/>
          <w:sz w:val="22"/>
          <w:szCs w:val="22"/>
        </w:rPr>
      </w:pPr>
      <w:r>
        <w:rPr>
          <w:sz w:val="22"/>
          <w:szCs w:val="22"/>
          <w:u w:val="single"/>
        </w:rPr>
        <w:lastRenderedPageBreak/>
        <w:t>Medicare/Medicaid Participation</w:t>
      </w:r>
      <w:r>
        <w:rPr>
          <w:sz w:val="22"/>
          <w:szCs w:val="22"/>
        </w:rPr>
        <w:t>.  Neither QCorp, nor its principals, employees, or subcontractors are presently debarred, suspended, proposed for debarment, declared ineligible, or excluded from participation in any federally funded health care program, including Medicare and Medicaid. QCorp hereby agrees to promptly notify Participant in the event that QCorp or any of its principals, employees, or in the case of subcontractors involved in the performance of Services is threatened with, or subject to actual debarment, suspension or exclusion from any federally funded health care program, including Medicare and Medicaid. In the event that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QCorp is in breach of this Section, this Agreement shall, as of the effective date of such action or breach, automatically terminate.</w:t>
      </w:r>
    </w:p>
    <w:p w:rsidR="00EE2A7C" w:rsidRDefault="00CE6D87">
      <w:pPr>
        <w:pStyle w:val="Legal22"/>
        <w:jc w:val="both"/>
        <w:rPr>
          <w:color w:val="000000"/>
          <w:sz w:val="22"/>
          <w:szCs w:val="22"/>
        </w:rPr>
      </w:pPr>
      <w:r>
        <w:rPr>
          <w:color w:val="000000"/>
          <w:sz w:val="22"/>
          <w:szCs w:val="22"/>
          <w:u w:val="single"/>
        </w:rPr>
        <w:t>Electronic Signatures</w:t>
      </w:r>
      <w:r>
        <w:rPr>
          <w:color w:val="000000"/>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rsidR="00EE2A7C" w:rsidRDefault="00CE6D87">
      <w:pPr>
        <w:pStyle w:val="Legal22"/>
        <w:jc w:val="both"/>
        <w:rPr>
          <w:color w:val="000000"/>
          <w:sz w:val="22"/>
          <w:szCs w:val="22"/>
        </w:rPr>
      </w:pPr>
      <w:r>
        <w:rPr>
          <w:color w:val="000000"/>
          <w:sz w:val="22"/>
          <w:szCs w:val="22"/>
          <w:u w:val="single"/>
        </w:rPr>
        <w:t>Counterparts; Facsimiles</w:t>
      </w:r>
      <w:r>
        <w:rPr>
          <w:color w:val="000000"/>
          <w:sz w:val="22"/>
          <w:szCs w:val="22"/>
        </w:rPr>
        <w:t>.  This Agreement and any amendment to it may be executed in counterparts and all of these counterparts together shall be deemed to constitute one and the same agreement.  Facsimile or .pdf copies hereof shall be deemed to be originals.</w:t>
      </w:r>
    </w:p>
    <w:p w:rsidR="00EE2A7C" w:rsidRDefault="00CE6D87">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rsidR="00EE2A7C" w:rsidRDefault="00EE2A7C">
      <w:pPr>
        <w:tabs>
          <w:tab w:val="left" w:pos="1440"/>
        </w:tabs>
        <w:jc w:val="center"/>
        <w:rPr>
          <w:rFonts w:ascii="Times New Roman" w:hAnsi="Times New Roman"/>
          <w:sz w:val="22"/>
          <w:szCs w:val="22"/>
        </w:rPr>
      </w:pPr>
    </w:p>
    <w:p w:rsidR="00EE2A7C" w:rsidRDefault="00EE2A7C">
      <w:pPr>
        <w:tabs>
          <w:tab w:val="left" w:pos="1440"/>
        </w:tabs>
        <w:jc w:val="center"/>
        <w:rPr>
          <w:rFonts w:ascii="Times New Roman" w:hAnsi="Times New Roman"/>
          <w:sz w:val="22"/>
          <w:szCs w:val="22"/>
        </w:rPr>
      </w:pPr>
    </w:p>
    <w:p w:rsidR="00EE2A7C" w:rsidRDefault="00EE2A7C">
      <w:pPr>
        <w:tabs>
          <w:tab w:val="left" w:pos="1440"/>
        </w:tabs>
        <w:jc w:val="center"/>
        <w:rPr>
          <w:rFonts w:ascii="Times New Roman" w:hAnsi="Times New Roman"/>
          <w:sz w:val="22"/>
          <w:szCs w:val="22"/>
        </w:rPr>
        <w:sectPr w:rsidR="00EE2A7C">
          <w:headerReference w:type="default" r:id="rId17"/>
          <w:footerReference w:type="default" r:id="rId18"/>
          <w:pgSz w:w="12240" w:h="15840"/>
          <w:pgMar w:top="1152" w:right="1152" w:bottom="1152" w:left="1152" w:header="720" w:footer="720" w:gutter="0"/>
          <w:pgNumType w:start="1"/>
          <w:cols w:space="720"/>
          <w:docGrid w:linePitch="326"/>
        </w:sectPr>
      </w:pPr>
    </w:p>
    <w:p w:rsidR="00EE2A7C" w:rsidRDefault="00EE2A7C">
      <w:pPr>
        <w:tabs>
          <w:tab w:val="left" w:pos="1440"/>
        </w:tabs>
        <w:jc w:val="center"/>
        <w:rPr>
          <w:rFonts w:ascii="Times New Roman" w:hAnsi="Times New Roman"/>
          <w:sz w:val="22"/>
          <w:szCs w:val="22"/>
        </w:rPr>
      </w:pPr>
    </w:p>
    <w:p w:rsidR="00EE2A7C" w:rsidRDefault="00CE6D87">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5076"/>
        <w:gridCol w:w="5076"/>
      </w:tblGrid>
      <w:tr w:rsidR="00EE2A7C">
        <w:tc>
          <w:tcPr>
            <w:tcW w:w="5076" w:type="dxa"/>
            <w:shd w:val="clear" w:color="auto" w:fill="auto"/>
          </w:tcPr>
          <w:p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tc>
          <w:tcPr>
            <w:tcW w:w="5076" w:type="dxa"/>
            <w:shd w:val="clear" w:color="auto" w:fill="auto"/>
          </w:tcPr>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tc>
        <w:tc>
          <w:tcPr>
            <w:tcW w:w="5076" w:type="dxa"/>
            <w:shd w:val="clear" w:color="auto" w:fill="auto"/>
          </w:tcPr>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08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1440"/>
              </w:tabs>
              <w:rPr>
                <w:rFonts w:ascii="Times New Roman" w:hAnsi="Times New Roman"/>
                <w:sz w:val="22"/>
                <w:szCs w:val="22"/>
              </w:rPr>
            </w:pPr>
          </w:p>
          <w:p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EE2A7C" w:rsidRDefault="00EE2A7C">
            <w:pPr>
              <w:tabs>
                <w:tab w:val="left" w:pos="954"/>
              </w:tabs>
              <w:rPr>
                <w:rFonts w:ascii="Times New Roman" w:hAnsi="Times New Roman"/>
                <w:sz w:val="22"/>
                <w:szCs w:val="22"/>
              </w:rPr>
            </w:pPr>
          </w:p>
        </w:tc>
      </w:tr>
    </w:tbl>
    <w:p w:rsidR="00EE2A7C" w:rsidRDefault="00EE2A7C" w:rsidP="00C45B40">
      <w:pPr>
        <w:tabs>
          <w:tab w:val="left" w:pos="1440"/>
        </w:tabs>
        <w:spacing w:after="120"/>
        <w:rPr>
          <w:rFonts w:ascii="Times New Roman" w:eastAsia="Times New Roman" w:hAnsi="Times New Roman"/>
          <w:sz w:val="22"/>
          <w:szCs w:val="22"/>
        </w:rPr>
      </w:pPr>
    </w:p>
    <w:sectPr w:rsidR="00EE2A7C">
      <w:footerReference w:type="default" r:id="rId19"/>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D9" w:rsidRDefault="00D95AD9">
      <w:r>
        <w:separator/>
      </w:r>
    </w:p>
  </w:endnote>
  <w:endnote w:type="continuationSeparator" w:id="0">
    <w:p w:rsidR="00D95AD9" w:rsidRDefault="00D9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E6D87">
    <w:pPr>
      <w:pStyle w:val="Footer"/>
      <w:jc w:val="center"/>
      <w:rPr>
        <w:noProof/>
        <w:sz w:val="20"/>
        <w:lang w:val="en-US"/>
      </w:rPr>
    </w:pPr>
    <w:r>
      <w:rPr>
        <w:sz w:val="20"/>
      </w:rPr>
      <w:fldChar w:fldCharType="begin"/>
    </w:r>
    <w:r>
      <w:rPr>
        <w:sz w:val="20"/>
      </w:rPr>
      <w:instrText xml:space="preserve"> PAGE   \* MERGEFORMAT </w:instrText>
    </w:r>
    <w:r>
      <w:rPr>
        <w:sz w:val="20"/>
      </w:rPr>
      <w:fldChar w:fldCharType="separate"/>
    </w:r>
    <w:r w:rsidR="00884075">
      <w:rPr>
        <w:noProof/>
        <w:sz w:val="20"/>
      </w:rPr>
      <w:t>2</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84685"/>
      <w:docPartObj>
        <w:docPartGallery w:val="Page Numbers (Bottom of Page)"/>
        <w:docPartUnique/>
      </w:docPartObj>
    </w:sdtPr>
    <w:sdtEndPr>
      <w:rPr>
        <w:noProof/>
      </w:rPr>
    </w:sdtEndPr>
    <w:sdtContent>
      <w:p w:rsidR="00EE2A7C" w:rsidRDefault="00CE6D87">
        <w:pPr>
          <w:pStyle w:val="Footer"/>
          <w:jc w:val="center"/>
        </w:pPr>
        <w:r>
          <w:rPr>
            <w:sz w:val="20"/>
          </w:rPr>
          <w:fldChar w:fldCharType="begin"/>
        </w:r>
        <w:r>
          <w:rPr>
            <w:sz w:val="20"/>
          </w:rPr>
          <w:instrText xml:space="preserve"> PAGE   \* MERGEFORMAT </w:instrText>
        </w:r>
        <w:r>
          <w:rPr>
            <w:sz w:val="20"/>
          </w:rPr>
          <w:fldChar w:fldCharType="separate"/>
        </w:r>
        <w:r w:rsidR="00884075">
          <w:rPr>
            <w:noProof/>
            <w:sz w:val="20"/>
          </w:rPr>
          <w:t>1</w:t>
        </w:r>
        <w:r>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1952"/>
      <w:docPartObj>
        <w:docPartGallery w:val="Page Numbers (Bottom of Page)"/>
        <w:docPartUnique/>
      </w:docPartObj>
    </w:sdtPr>
    <w:sdtEndPr>
      <w:rPr>
        <w:noProof/>
      </w:rPr>
    </w:sdtEndPr>
    <w:sdtContent>
      <w:p w:rsidR="00EE2A7C" w:rsidRDefault="00CE6D87">
        <w:pPr>
          <w:pStyle w:val="Footer"/>
          <w:jc w:val="center"/>
        </w:pPr>
        <w:r>
          <w:rPr>
            <w:sz w:val="20"/>
          </w:rPr>
          <w:fldChar w:fldCharType="begin"/>
        </w:r>
        <w:r>
          <w:rPr>
            <w:sz w:val="20"/>
          </w:rPr>
          <w:instrText xml:space="preserve"> PAGE   \* MERGEFORMAT </w:instrText>
        </w:r>
        <w:r>
          <w:rPr>
            <w:sz w:val="20"/>
          </w:rPr>
          <w:fldChar w:fldCharType="separate"/>
        </w:r>
        <w:r w:rsidR="00884075">
          <w:rPr>
            <w:noProof/>
            <w:sz w:val="20"/>
          </w:rPr>
          <w:t>11</w:t>
        </w:r>
        <w:r>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E6D87">
    <w:pPr>
      <w:pStyle w:val="Footer"/>
      <w:jc w:val="center"/>
      <w:rPr>
        <w:rFonts w:ascii="Times New Roman" w:hAnsi="Times New Roman"/>
        <w:noProof/>
        <w:sz w:val="22"/>
        <w:lang w:val="en-US"/>
      </w:rPr>
    </w:pPr>
    <w:r>
      <w:rPr>
        <w:rFonts w:ascii="Times New Roman" w:hAnsi="Times New Roman"/>
        <w:sz w:val="20"/>
      </w:rPr>
      <w:t>A-</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84075">
      <w:rPr>
        <w:rFonts w:ascii="Times New Roman" w:hAnsi="Times New Roman"/>
        <w:noProof/>
        <w:sz w:val="20"/>
      </w:rPr>
      <w:t>1</w:t>
    </w:r>
    <w:r>
      <w:rPr>
        <w:rFonts w:ascii="Times New Roman" w:hAnsi="Times New Roman"/>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E6D87">
    <w:pPr>
      <w:pStyle w:val="Footer"/>
      <w:jc w:val="center"/>
      <w:rPr>
        <w:rFonts w:ascii="Times New Roman" w:hAnsi="Times New Roman"/>
        <w:noProof/>
        <w:sz w:val="22"/>
        <w:lang w:val="en-US"/>
      </w:rPr>
    </w:pPr>
    <w:r>
      <w:rPr>
        <w:rFonts w:ascii="Times New Roman" w:hAnsi="Times New Roman"/>
        <w:sz w:val="20"/>
      </w:rPr>
      <w:t>B-</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84075">
      <w:rPr>
        <w:rFonts w:ascii="Times New Roman" w:hAnsi="Times New Roman"/>
        <w:noProof/>
        <w:sz w:val="20"/>
      </w:rPr>
      <w:t>2</w:t>
    </w:r>
    <w:r>
      <w:rPr>
        <w:rFonts w:ascii="Times New Roman" w:hAnsi="Times New Roman"/>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E6D87">
    <w:pPr>
      <w:pStyle w:val="Footer"/>
      <w:jc w:val="center"/>
      <w:rPr>
        <w:noProof/>
        <w:sz w:val="22"/>
        <w:lang w:val="en-US"/>
      </w:rPr>
    </w:pPr>
    <w:r>
      <w:rPr>
        <w:sz w:val="20"/>
      </w:rPr>
      <w:t>C-</w:t>
    </w:r>
    <w:r>
      <w:rPr>
        <w:sz w:val="20"/>
      </w:rPr>
      <w:fldChar w:fldCharType="begin"/>
    </w:r>
    <w:r>
      <w:rPr>
        <w:sz w:val="20"/>
      </w:rPr>
      <w:instrText xml:space="preserve"> PAGE   \* MERGEFORMAT </w:instrText>
    </w:r>
    <w:r>
      <w:rPr>
        <w:sz w:val="20"/>
      </w:rPr>
      <w:fldChar w:fldCharType="separate"/>
    </w:r>
    <w:r w:rsidR="00884075">
      <w:rPr>
        <w:noProof/>
        <w:sz w:val="20"/>
      </w:rPr>
      <w:t>7</w:t>
    </w:r>
    <w:r>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45B40">
    <w:pPr>
      <w:pStyle w:val="Footer"/>
      <w:jc w:val="center"/>
      <w:rPr>
        <w:noProof/>
        <w:sz w:val="22"/>
        <w:lang w:val="en-US"/>
      </w:rPr>
    </w:pPr>
    <w:r>
      <w:rPr>
        <w:noProof/>
        <w:sz w:val="20"/>
        <w:lang w:val="en-US"/>
      </w:rPr>
      <w:t>C</w:t>
    </w:r>
    <w:r w:rsidR="00CE6D87">
      <w:rPr>
        <w:noProof/>
        <w:sz w:val="20"/>
        <w:lang w:val="en-US"/>
      </w:rPr>
      <w:t>-</w:t>
    </w:r>
    <w:r>
      <w:rPr>
        <w:noProof/>
        <w:sz w:val="20"/>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D9" w:rsidRDefault="00D95AD9">
      <w:r>
        <w:separator/>
      </w:r>
    </w:p>
  </w:footnote>
  <w:footnote w:type="continuationSeparator" w:id="0">
    <w:p w:rsidR="00D95AD9" w:rsidRDefault="00D95AD9">
      <w:r>
        <w:continuationSeparator/>
      </w:r>
    </w:p>
  </w:footnote>
  <w:footnote w:id="1">
    <w:p w:rsidR="00EE2A7C" w:rsidRDefault="00CE6D87">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CE6D87">
    <w:pPr>
      <w:pStyle w:val="Header"/>
      <w:jc w:val="right"/>
      <w:rPr>
        <w:rFonts w:ascii="Times New Roman" w:hAnsi="Times New Roman"/>
        <w:i/>
      </w:rPr>
    </w:pPr>
    <w:r>
      <w:rPr>
        <w:rFonts w:ascii="Times New Roman" w:hAnsi="Times New Roman"/>
        <w:i/>
        <w:sz w:val="20"/>
      </w:rPr>
      <w:t>2016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EE2A7C">
    <w:pPr>
      <w:pStyle w:val="Header"/>
      <w:jc w:val="right"/>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7C" w:rsidRDefault="00EE2A7C">
    <w:pPr>
      <w:pStyle w:val="Header"/>
      <w:ind w:right="110"/>
      <w:jc w:val="right"/>
      <w:rPr>
        <w:rFonts w:ascii="Times New Roman" w:hAnsi="Times New Roman"/>
        <w:i/>
        <w:sz w:val="22"/>
      </w:rPr>
    </w:pPr>
  </w:p>
  <w:p w:rsidR="00EE2A7C" w:rsidRDefault="00EE2A7C">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E566CC"/>
    <w:multiLevelType w:val="singleLevel"/>
    <w:tmpl w:val="F9E209BE"/>
    <w:lvl w:ilvl="0">
      <w:start w:val="1"/>
      <w:numFmt w:val="decimal"/>
      <w:lvlText w:val="%1."/>
      <w:legacy w:legacy="1" w:legacySpace="0" w:legacyIndent="360"/>
      <w:lvlJc w:val="left"/>
      <w:pPr>
        <w:ind w:left="360" w:hanging="360"/>
      </w:pPr>
    </w:lvl>
  </w:abstractNum>
  <w:abstractNum w:abstractNumId="4">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D932BE"/>
    <w:multiLevelType w:val="hybridMultilevel"/>
    <w:tmpl w:val="B5BEA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B65B36"/>
    <w:multiLevelType w:val="hybridMultilevel"/>
    <w:tmpl w:val="007A899C"/>
    <w:lvl w:ilvl="0" w:tplc="990246A0">
      <w:start w:val="1"/>
      <w:numFmt w:val="lowerLetter"/>
      <w:lvlText w:val="%1)"/>
      <w:lvlJc w:val="left"/>
      <w:pPr>
        <w:tabs>
          <w:tab w:val="num" w:pos="1080"/>
        </w:tabs>
        <w:ind w:left="1080" w:hanging="360"/>
      </w:pPr>
      <w:rPr>
        <w:rFonts w:hint="default"/>
        <w:b w:val="0"/>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2"/>
  </w:num>
  <w:num w:numId="3">
    <w:abstractNumId w:val="9"/>
  </w:num>
  <w:num w:numId="4">
    <w:abstractNumId w:val="24"/>
  </w:num>
  <w:num w:numId="5">
    <w:abstractNumId w:val="8"/>
  </w:num>
  <w:num w:numId="6">
    <w:abstractNumId w:val="10"/>
  </w:num>
  <w:num w:numId="7">
    <w:abstractNumId w:val="16"/>
  </w:num>
  <w:num w:numId="8">
    <w:abstractNumId w:val="23"/>
  </w:num>
  <w:num w:numId="9">
    <w:abstractNumId w:val="7"/>
  </w:num>
  <w:num w:numId="10">
    <w:abstractNumId w:val="26"/>
  </w:num>
  <w:num w:numId="11">
    <w:abstractNumId w:val="13"/>
  </w:num>
  <w:num w:numId="12">
    <w:abstractNumId w:val="20"/>
  </w:num>
  <w:num w:numId="13">
    <w:abstractNumId w:val="0"/>
  </w:num>
  <w:num w:numId="14">
    <w:abstractNumId w:val="1"/>
  </w:num>
  <w:num w:numId="15">
    <w:abstractNumId w:val="27"/>
  </w:num>
  <w:num w:numId="16">
    <w:abstractNumId w:val="25"/>
  </w:num>
  <w:num w:numId="17">
    <w:abstractNumId w:val="5"/>
  </w:num>
  <w:num w:numId="18">
    <w:abstractNumId w:val="30"/>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4"/>
  </w:num>
  <w:num w:numId="29">
    <w:abstractNumId w:val="14"/>
  </w:num>
  <w:num w:numId="30">
    <w:abstractNumId w:val="2"/>
  </w:num>
  <w:num w:numId="31">
    <w:abstractNumId w:val="29"/>
  </w:num>
  <w:num w:numId="32">
    <w:abstractNumId w:val="11"/>
  </w:num>
  <w:num w:numId="33">
    <w:abstractNumId w:val="18"/>
  </w:num>
  <w:num w:numId="34">
    <w:abstractNumId w:val="19"/>
  </w:num>
  <w:num w:numId="35">
    <w:abstractNumId w:val="17"/>
  </w:num>
  <w:num w:numId="36">
    <w:abstractNumId w:val="12"/>
  </w:num>
  <w:num w:numId="37">
    <w:abstractNumId w:val="31"/>
  </w:num>
  <w:num w:numId="38">
    <w:abstractNumId w:val="6"/>
  </w:num>
  <w:num w:numId="39">
    <w:abstractNumId w:val="28"/>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EE2A7C"/>
    <w:rsid w:val="007D3455"/>
    <w:rsid w:val="00884075"/>
    <w:rsid w:val="009B6BDA"/>
    <w:rsid w:val="00A069DB"/>
    <w:rsid w:val="00C45B40"/>
    <w:rsid w:val="00CE6D87"/>
    <w:rsid w:val="00D95AD9"/>
    <w:rsid w:val="00EE2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AF7F-CCD9-4279-85B2-9231131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9495</Words>
  <Characters>52973</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2016-02-26T19:28:00Z</dcterms:created>
  <dcterms:modified xsi:type="dcterms:W3CDTF">2016-02-26T19:28:00Z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